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10446" w:type="dxa"/>
        <w:tblInd w:w="-9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23"/>
        <w:gridCol w:w="415"/>
        <w:gridCol w:w="1411"/>
        <w:gridCol w:w="1323"/>
        <w:gridCol w:w="881"/>
        <w:gridCol w:w="831"/>
        <w:gridCol w:w="708"/>
        <w:gridCol w:w="1024"/>
        <w:gridCol w:w="1122"/>
        <w:gridCol w:w="14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1323"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4030" w:type="dxa"/>
            <w:gridSpan w:val="4"/>
            <w:tcBorders>
              <w:tl2br w:val="nil"/>
              <w:tr2bl w:val="nil"/>
            </w:tcBorders>
            <w:vAlign w:val="center"/>
          </w:tcPr>
          <w:p>
            <w:pPr>
              <w:spacing w:line="240" w:lineRule="exact"/>
              <w:ind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lang w:val="en-US" w:eastAsia="zh-CN"/>
              </w:rPr>
              <w:t>田野之上》</w:t>
            </w:r>
          </w:p>
        </w:tc>
        <w:tc>
          <w:tcPr>
            <w:tcW w:w="153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554"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仿宋" w:hAnsi="仿宋" w:eastAsia="仿宋" w:cs="仿宋"/>
                <w:bCs w:val="0"/>
                <w:color w:val="000000"/>
                <w:sz w:val="24"/>
                <w:szCs w:val="18"/>
                <w:lang w:val="en-US" w:eastAsia="zh-CN"/>
              </w:rPr>
            </w:pPr>
            <w:r>
              <w:rPr>
                <w:rFonts w:hint="eastAsia" w:ascii="仿宋" w:hAnsi="仿宋" w:eastAsia="仿宋" w:cs="仿宋"/>
                <w:bCs w:val="0"/>
                <w:color w:val="000000"/>
                <w:sz w:val="24"/>
                <w:szCs w:val="18"/>
                <w:lang w:val="en-US" w:eastAsia="zh-CN"/>
              </w:rPr>
              <w:t>新闻纪录片（新媒体）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1323"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4030" w:type="dxa"/>
            <w:gridSpan w:val="4"/>
            <w:vMerge w:val="restart"/>
            <w:tcBorders>
              <w:tl2br w:val="nil"/>
              <w:tr2bl w:val="nil"/>
            </w:tcBorders>
            <w:vAlign w:val="center"/>
          </w:tcPr>
          <w:p>
            <w:pPr>
              <w:spacing w:line="240" w:lineRule="exact"/>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6集×40分钟</w:t>
            </w:r>
          </w:p>
        </w:tc>
        <w:tc>
          <w:tcPr>
            <w:tcW w:w="153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554"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仿宋" w:hAnsi="仿宋" w:eastAsia="仿宋" w:cs="仿宋"/>
                <w:color w:val="000000"/>
                <w:sz w:val="24"/>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1323"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4030" w:type="dxa"/>
            <w:gridSpan w:val="4"/>
            <w:vMerge w:val="continue"/>
            <w:tcBorders>
              <w:tl2br w:val="nil"/>
              <w:tr2bl w:val="nil"/>
            </w:tcBorders>
            <w:vAlign w:val="center"/>
          </w:tcPr>
          <w:p>
            <w:pPr>
              <w:spacing w:line="380" w:lineRule="exact"/>
              <w:ind w:firstLine="560"/>
              <w:jc w:val="center"/>
              <w:rPr>
                <w:rFonts w:hint="eastAsia" w:ascii="仿宋" w:hAnsi="仿宋" w:eastAsia="仿宋" w:cs="仿宋"/>
                <w:color w:val="000000"/>
                <w:sz w:val="24"/>
                <w:szCs w:val="24"/>
              </w:rPr>
            </w:pPr>
          </w:p>
        </w:tc>
        <w:tc>
          <w:tcPr>
            <w:tcW w:w="153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554"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中文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1323"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4030"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000000"/>
                <w:sz w:val="24"/>
                <w:szCs w:val="24"/>
                <w:lang w:eastAsia="zh-CN"/>
              </w:rPr>
            </w:pPr>
            <w:r>
              <w:rPr>
                <w:rFonts w:hint="eastAsia" w:ascii="仿宋" w:hAnsi="仿宋" w:eastAsia="仿宋" w:cs="仿宋"/>
                <w:bCs w:val="0"/>
                <w:color w:val="000000"/>
                <w:sz w:val="24"/>
                <w:szCs w:val="24"/>
                <w:lang w:val="en-US" w:eastAsia="zh-CN"/>
              </w:rPr>
              <w:t>集体（高芝夏、刘炜骅、梁乃娙、张阿鹤、孙弘、邓欢、吴怡吟、秦博、赖瑗、杨依频、蒋逸哲、刁勇、张怡、王晓峰、李阳、孙功旭）</w:t>
            </w:r>
          </w:p>
        </w:tc>
        <w:tc>
          <w:tcPr>
            <w:tcW w:w="153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554"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仿宋" w:hAnsi="仿宋" w:eastAsia="仿宋" w:cs="仿宋"/>
                <w:color w:val="000000"/>
                <w:sz w:val="24"/>
                <w:szCs w:val="18"/>
                <w:lang w:eastAsia="zh-CN"/>
              </w:rPr>
            </w:pPr>
            <w:r>
              <w:rPr>
                <w:rFonts w:hint="eastAsia" w:ascii="仿宋" w:hAnsi="仿宋" w:eastAsia="仿宋" w:cs="仿宋"/>
                <w:bCs w:val="0"/>
                <w:color w:val="000000"/>
                <w:sz w:val="24"/>
                <w:szCs w:val="18"/>
                <w:lang w:val="en-US" w:eastAsia="zh-CN"/>
              </w:rPr>
              <w:t>集体（陈方、林凌、刘心辰、朱乐贤、胡婧雯、梁菲、任唯瑜、周全、唐欣荣、陈婷、刘正宇、黄诞琦、雍祥臻）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1323"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4030"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仿宋" w:hAnsi="仿宋" w:eastAsia="仿宋" w:cs="仿宋"/>
                <w:color w:val="000000"/>
                <w:sz w:val="24"/>
                <w:szCs w:val="24"/>
              </w:rPr>
            </w:pPr>
            <w:r>
              <w:rPr>
                <w:rFonts w:hint="eastAsia" w:ascii="仿宋" w:hAnsi="仿宋" w:eastAsia="仿宋" w:cs="仿宋"/>
                <w:bCs w:val="0"/>
                <w:color w:val="000000"/>
                <w:sz w:val="24"/>
                <w:szCs w:val="24"/>
                <w:lang w:val="en-US" w:eastAsia="zh-CN"/>
              </w:rPr>
              <w:t>解读中国工作室、腾讯视频、上海广播电视台、福建省广播影视集团、学习出版社</w:t>
            </w:r>
          </w:p>
        </w:tc>
        <w:tc>
          <w:tcPr>
            <w:tcW w:w="153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554"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仿宋" w:hAnsi="仿宋" w:eastAsia="仿宋" w:cs="仿宋"/>
                <w:color w:val="000000"/>
                <w:sz w:val="24"/>
                <w:szCs w:val="18"/>
                <w:highlight w:val="none"/>
                <w:lang w:eastAsia="zh-CN"/>
              </w:rPr>
            </w:pPr>
            <w:r>
              <w:rPr>
                <w:rFonts w:hint="eastAsia" w:ascii="仿宋" w:hAnsi="仿宋" w:eastAsia="仿宋" w:cs="仿宋"/>
                <w:color w:val="000000"/>
                <w:sz w:val="24"/>
                <w:szCs w:val="18"/>
                <w:highlight w:val="none"/>
              </w:rPr>
              <w:t>东南卫视</w:t>
            </w:r>
            <w:r>
              <w:rPr>
                <w:rFonts w:hint="eastAsia" w:ascii="仿宋" w:hAnsi="仿宋" w:eastAsia="仿宋" w:cs="仿宋"/>
                <w:color w:val="000000"/>
                <w:sz w:val="24"/>
                <w:szCs w:val="18"/>
                <w:highlight w:val="none"/>
                <w:lang w:eastAsia="zh-CN"/>
              </w:rPr>
              <w:t>、</w:t>
            </w:r>
            <w:r>
              <w:rPr>
                <w:rFonts w:hint="eastAsia" w:ascii="仿宋" w:hAnsi="仿宋" w:eastAsia="仿宋" w:cs="仿宋"/>
                <w:color w:val="000000"/>
                <w:sz w:val="24"/>
                <w:szCs w:val="18"/>
                <w:highlight w:val="none"/>
              </w:rPr>
              <w:t>东方卫视、</w:t>
            </w:r>
            <w:r>
              <w:rPr>
                <w:rFonts w:hint="eastAsia" w:ascii="仿宋" w:hAnsi="仿宋" w:eastAsia="仿宋" w:cs="仿宋"/>
                <w:color w:val="000000"/>
                <w:sz w:val="24"/>
                <w:szCs w:val="18"/>
                <w:highlight w:val="none"/>
                <w:lang w:eastAsia="zh-CN"/>
              </w:rPr>
              <w:fldChar w:fldCharType="begin"/>
            </w:r>
            <w:r>
              <w:rPr>
                <w:rFonts w:hint="eastAsia" w:ascii="仿宋" w:hAnsi="仿宋" w:eastAsia="仿宋" w:cs="仿宋"/>
                <w:color w:val="000000"/>
                <w:sz w:val="24"/>
                <w:szCs w:val="18"/>
                <w:highlight w:val="none"/>
                <w:lang w:eastAsia="zh-CN"/>
              </w:rPr>
              <w:instrText xml:space="preserve"> HYPERLINK "https://baike.baidu.com/item/%E8%85%BE%E8%AE%AF%E8%A7%86%E9%A2%91/10440288?fromModule=lemma_inlink" \t "https://baike.baidu.com/item/%E7%94%B0%E9%87%8E%E4%B9%8B%E4%B8%8A/_blank" </w:instrText>
            </w:r>
            <w:r>
              <w:rPr>
                <w:rFonts w:hint="eastAsia" w:ascii="仿宋" w:hAnsi="仿宋" w:eastAsia="仿宋" w:cs="仿宋"/>
                <w:color w:val="000000"/>
                <w:sz w:val="24"/>
                <w:szCs w:val="18"/>
                <w:highlight w:val="none"/>
                <w:lang w:eastAsia="zh-CN"/>
              </w:rPr>
              <w:fldChar w:fldCharType="separate"/>
            </w:r>
            <w:r>
              <w:rPr>
                <w:rFonts w:hint="eastAsia" w:ascii="仿宋" w:hAnsi="仿宋" w:eastAsia="仿宋" w:cs="仿宋"/>
                <w:color w:val="000000"/>
                <w:sz w:val="24"/>
                <w:szCs w:val="18"/>
                <w:highlight w:val="none"/>
                <w:lang w:eastAsia="zh-CN"/>
              </w:rPr>
              <w:t>腾讯视频</w:t>
            </w:r>
            <w:r>
              <w:rPr>
                <w:rFonts w:hint="eastAsia" w:ascii="仿宋" w:hAnsi="仿宋" w:eastAsia="仿宋" w:cs="仿宋"/>
                <w:color w:val="000000"/>
                <w:sz w:val="24"/>
                <w:szCs w:val="18"/>
                <w:highlight w:val="none"/>
                <w:lang w:eastAsia="zh-CN"/>
              </w:rPr>
              <w:fldChar w:fldCharType="end"/>
            </w:r>
            <w:r>
              <w:rPr>
                <w:rFonts w:hint="eastAsia" w:ascii="仿宋" w:hAnsi="仿宋" w:eastAsia="仿宋" w:cs="仿宋"/>
                <w:color w:val="000000"/>
                <w:sz w:val="24"/>
                <w:szCs w:val="18"/>
                <w:highlight w:val="none"/>
                <w:lang w:eastAsia="zh-CN"/>
              </w:rPr>
              <w:t>、</w:t>
            </w:r>
            <w:r>
              <w:rPr>
                <w:rFonts w:hint="eastAsia" w:ascii="仿宋" w:hAnsi="仿宋" w:eastAsia="仿宋" w:cs="仿宋"/>
                <w:color w:val="000000"/>
                <w:sz w:val="24"/>
                <w:szCs w:val="18"/>
                <w:highlight w:val="none"/>
                <w:lang w:eastAsia="zh-CN"/>
              </w:rPr>
              <w:fldChar w:fldCharType="begin"/>
            </w:r>
            <w:r>
              <w:rPr>
                <w:rFonts w:hint="eastAsia" w:ascii="仿宋" w:hAnsi="仿宋" w:eastAsia="仿宋" w:cs="仿宋"/>
                <w:color w:val="000000"/>
                <w:sz w:val="24"/>
                <w:szCs w:val="18"/>
                <w:highlight w:val="none"/>
                <w:lang w:eastAsia="zh-CN"/>
              </w:rPr>
              <w:instrText xml:space="preserve"> HYPERLINK "https://baike.baidu.com/item/%E6%B5%B7%E5%8D%9ATV/63687456?fromModule=lemma_inlink" \t "https://baike.baidu.com/item/%E7%94%B0%E9%87%8E%E4%B9%8B%E4%B8%8A/_blank" </w:instrText>
            </w:r>
            <w:r>
              <w:rPr>
                <w:rFonts w:hint="eastAsia" w:ascii="仿宋" w:hAnsi="仿宋" w:eastAsia="仿宋" w:cs="仿宋"/>
                <w:color w:val="000000"/>
                <w:sz w:val="24"/>
                <w:szCs w:val="18"/>
                <w:highlight w:val="none"/>
                <w:lang w:eastAsia="zh-CN"/>
              </w:rPr>
              <w:fldChar w:fldCharType="separate"/>
            </w:r>
            <w:r>
              <w:rPr>
                <w:rFonts w:hint="eastAsia" w:ascii="仿宋" w:hAnsi="仿宋" w:eastAsia="仿宋" w:cs="仿宋"/>
                <w:color w:val="000000"/>
                <w:sz w:val="24"/>
                <w:szCs w:val="18"/>
                <w:highlight w:val="none"/>
                <w:lang w:eastAsia="zh-CN"/>
              </w:rPr>
              <w:t>海博TV</w:t>
            </w:r>
            <w:r>
              <w:rPr>
                <w:rFonts w:hint="eastAsia" w:ascii="仿宋" w:hAnsi="仿宋" w:eastAsia="仿宋" w:cs="仿宋"/>
                <w:color w:val="000000"/>
                <w:sz w:val="24"/>
                <w:szCs w:val="18"/>
                <w:highlight w:val="none"/>
                <w:lang w:eastAsia="zh-CN"/>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738"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7"/>
                <w:sz w:val="24"/>
                <w:szCs w:val="21"/>
                <w:lang w:eastAsia="zh-CN"/>
              </w:rPr>
              <w:t>（</w:t>
            </w:r>
            <w:r>
              <w:rPr>
                <w:rFonts w:hint="eastAsia" w:ascii="华文中宋" w:hAnsi="华文中宋" w:eastAsia="华文中宋"/>
                <w:color w:val="000000"/>
                <w:spacing w:val="-17"/>
                <w:sz w:val="22"/>
                <w:szCs w:val="21"/>
              </w:rPr>
              <w:t>名称和版次</w:t>
            </w:r>
            <w:r>
              <w:rPr>
                <w:rFonts w:hint="eastAsia" w:ascii="华文中宋" w:hAnsi="华文中宋" w:eastAsia="华文中宋"/>
                <w:color w:val="000000"/>
                <w:spacing w:val="-17"/>
                <w:sz w:val="22"/>
                <w:szCs w:val="21"/>
                <w:lang w:eastAsia="zh-CN"/>
              </w:rPr>
              <w:t>）</w:t>
            </w:r>
          </w:p>
        </w:tc>
        <w:tc>
          <w:tcPr>
            <w:tcW w:w="3615" w:type="dxa"/>
            <w:gridSpan w:val="3"/>
            <w:tcBorders>
              <w:tl2br w:val="nil"/>
              <w:tr2bl w:val="nil"/>
            </w:tcBorders>
            <w:vAlign w:val="center"/>
          </w:tcPr>
          <w:p>
            <w:pPr>
              <w:spacing w:line="260" w:lineRule="exact"/>
              <w:jc w:val="center"/>
              <w:rPr>
                <w:rFonts w:ascii="方正仿宋_GB2312" w:hAnsi="仿宋"/>
                <w:color w:val="000000"/>
                <w:szCs w:val="21"/>
              </w:rPr>
            </w:pPr>
            <w:r>
              <w:rPr>
                <w:rFonts w:hint="eastAsia" w:ascii="仿宋" w:hAnsi="仿宋" w:eastAsia="仿宋" w:cs="仿宋"/>
                <w:color w:val="000000"/>
                <w:sz w:val="24"/>
                <w:szCs w:val="18"/>
                <w:highlight w:val="none"/>
              </w:rPr>
              <w:t>东南卫视、东方卫视</w:t>
            </w:r>
          </w:p>
        </w:tc>
        <w:tc>
          <w:tcPr>
            <w:tcW w:w="831"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62"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000000"/>
                <w:sz w:val="24"/>
                <w:szCs w:val="18"/>
                <w:highlight w:val="none"/>
                <w:lang w:val="en-US" w:eastAsia="zh-CN"/>
              </w:rPr>
            </w:pPr>
            <w:r>
              <w:rPr>
                <w:rFonts w:hint="eastAsia" w:ascii="仿宋" w:hAnsi="仿宋" w:eastAsia="仿宋" w:cs="仿宋"/>
                <w:color w:val="000000"/>
                <w:sz w:val="24"/>
                <w:szCs w:val="18"/>
                <w:highlight w:val="none"/>
                <w:lang w:val="en-US" w:eastAsia="zh-CN"/>
              </w:rPr>
              <w:t>2025年1月7日起</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方正仿宋_GB2312" w:hAnsi="仿宋"/>
                <w:color w:val="000000"/>
                <w:szCs w:val="21"/>
              </w:rPr>
            </w:pPr>
            <w:r>
              <w:rPr>
                <w:rFonts w:hint="eastAsia" w:ascii="仿宋" w:hAnsi="仿宋" w:eastAsia="仿宋" w:cs="仿宋"/>
                <w:color w:val="000000"/>
                <w:sz w:val="24"/>
                <w:szCs w:val="18"/>
                <w:highlight w:val="none"/>
                <w:lang w:val="en-US" w:eastAsia="zh-CN"/>
              </w:rPr>
              <w:t>每周二21:10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738" w:type="dxa"/>
            <w:gridSpan w:val="2"/>
            <w:tcBorders>
              <w:tl2br w:val="nil"/>
              <w:tr2bl w:val="nil"/>
            </w:tcBorders>
            <w:vAlign w:val="center"/>
          </w:tcPr>
          <w:p>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154" w:type="dxa"/>
            <w:gridSpan w:val="5"/>
            <w:tcBorders>
              <w:tl2br w:val="nil"/>
              <w:tr2bl w:val="nil"/>
            </w:tcBorders>
            <w:vAlign w:val="center"/>
          </w:tcPr>
          <w:p>
            <w:pPr>
              <w:spacing w:line="260" w:lineRule="exact"/>
              <w:rPr>
                <w:rFonts w:hint="eastAsia" w:ascii="华文中宋" w:hAnsi="华文中宋" w:eastAsia="华文中宋"/>
                <w:color w:val="000000"/>
                <w:sz w:val="28"/>
              </w:rPr>
            </w:pPr>
            <w:r>
              <w:rPr>
                <w:rFonts w:hint="eastAsia" w:ascii="仿宋" w:hAnsi="仿宋" w:eastAsia="仿宋" w:cs="仿宋"/>
                <w:color w:val="000000"/>
                <w:sz w:val="24"/>
                <w:szCs w:val="18"/>
                <w:highlight w:val="none"/>
                <w:lang w:val="en-US" w:eastAsia="zh-CN"/>
              </w:rPr>
              <w:t>https://www.fjtv.net/haibo4/haibo4-api/zhuantifenxiang/?id=3314</w:t>
            </w:r>
          </w:p>
        </w:tc>
        <w:tc>
          <w:tcPr>
            <w:tcW w:w="2146" w:type="dxa"/>
            <w:gridSpan w:val="2"/>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408" w:type="dxa"/>
            <w:tcBorders>
              <w:tl2br w:val="nil"/>
              <w:tr2bl w:val="nil"/>
            </w:tcBorders>
            <w:vAlign w:val="center"/>
          </w:tcPr>
          <w:p>
            <w:pPr>
              <w:spacing w:line="260" w:lineRule="exact"/>
              <w:jc w:val="center"/>
              <w:rPr>
                <w:rFonts w:hint="eastAsia" w:ascii="华文中宋" w:hAnsi="华文中宋" w:eastAsia="华文中宋"/>
                <w:color w:val="000000"/>
                <w:sz w:val="28"/>
                <w:lang w:val="en-US" w:eastAsia="zh-CN"/>
              </w:rPr>
            </w:pPr>
            <w:r>
              <w:rPr>
                <w:rFonts w:hint="eastAsia" w:ascii="仿宋" w:hAnsi="仿宋" w:eastAsia="仿宋" w:cs="仿宋"/>
                <w:color w:val="000000"/>
                <w:sz w:val="24"/>
                <w:szCs w:val="18"/>
                <w:highlight w:val="none"/>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1323" w:type="dxa"/>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9123"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56" w:firstLineChars="200"/>
              <w:textAlignment w:val="auto"/>
              <w:rPr>
                <w:rFonts w:hint="default" w:ascii="仿宋" w:hAnsi="仿宋" w:eastAsia="仿宋"/>
                <w:color w:val="000000"/>
                <w:w w:val="95"/>
                <w:sz w:val="24"/>
                <w:szCs w:val="24"/>
                <w:lang w:val="en-US" w:eastAsia="zh-CN"/>
              </w:rPr>
            </w:pPr>
            <w:r>
              <w:rPr>
                <w:rFonts w:hint="default" w:ascii="仿宋" w:hAnsi="仿宋" w:eastAsia="仿宋"/>
                <w:color w:val="000000"/>
                <w:w w:val="95"/>
                <w:sz w:val="24"/>
                <w:szCs w:val="24"/>
                <w:lang w:val="en-US" w:eastAsia="zh-CN"/>
              </w:rPr>
              <w:t>中宣部“纪录中国”传播工程项目、六集乡村振兴主题纪录片《田野之上》，通过深入剖析美丽乡村建设的成功实践案例，生动讲述中国农民在乡村振兴中的获得感、幸福感、安全感，立体展示乡村振兴实践中的新做法、新经验、新成果，抒写中国式现代化的乡村振兴新篇章。摄制组自驾十万八千里，深入探访、调研中国近百个乡村，安排11个摄制组进行为期一年的驻村观察式记录，通过持续跟踪拍摄，以六集篇幅总结提炼出粮食种植、生态农业、文化传承、人才下乡、乡村教育等在内的11个选题，以极富人文情怀的镜头语言展现了一个个鲜活的故事和感人的瞬间。</w:t>
            </w:r>
          </w:p>
          <w:p>
            <w:pPr>
              <w:keepNext w:val="0"/>
              <w:keepLines w:val="0"/>
              <w:pageBreakBefore w:val="0"/>
              <w:widowControl w:val="0"/>
              <w:kinsoku/>
              <w:wordWrap/>
              <w:overflowPunct/>
              <w:topLinePunct w:val="0"/>
              <w:autoSpaceDE/>
              <w:autoSpaceDN/>
              <w:bidi w:val="0"/>
              <w:adjustRightInd/>
              <w:snapToGrid/>
              <w:spacing w:line="360" w:lineRule="exact"/>
              <w:ind w:firstLine="456" w:firstLineChars="200"/>
              <w:textAlignment w:val="auto"/>
              <w:rPr>
                <w:rFonts w:hint="default" w:ascii="仿宋" w:hAnsi="仿宋" w:eastAsia="仿宋"/>
                <w:color w:val="000000"/>
                <w:w w:val="95"/>
                <w:sz w:val="21"/>
                <w:szCs w:val="21"/>
                <w:lang w:val="en-US" w:eastAsia="zh-CN"/>
              </w:rPr>
            </w:pPr>
            <w:r>
              <w:rPr>
                <w:rFonts w:hint="default" w:ascii="仿宋" w:hAnsi="仿宋" w:eastAsia="仿宋"/>
                <w:color w:val="000000"/>
                <w:w w:val="95"/>
                <w:sz w:val="24"/>
                <w:szCs w:val="24"/>
                <w:lang w:val="en-US" w:eastAsia="zh-CN"/>
              </w:rPr>
              <w:t>节目自播出以来，持续霸榜腾讯视频纪录片社会纪录片榜单TOP1，首播收视率霸榜CSM71城专题类第一，并获得权威媒体和主流媒体的多维报道。相关话题在微博纪录片影响力榜连续38日持续在榜，主话题阅读量超1亿，相关话题总阅读量超1.1亿，短视频相关内容播放量超1000万次。人民网、光明网、央视网、中国新闻出版广电报、解放日报等权威媒体多维报道。同时，《田野之上》国际版在亚洲、中东及非洲的众多国家</w:t>
            </w:r>
            <w:r>
              <w:rPr>
                <w:rFonts w:hint="eastAsia" w:ascii="仿宋" w:hAnsi="仿宋" w:eastAsia="仿宋"/>
                <w:color w:val="000000"/>
                <w:w w:val="95"/>
                <w:sz w:val="24"/>
                <w:szCs w:val="24"/>
                <w:lang w:val="en-US" w:eastAsia="zh-CN"/>
              </w:rPr>
              <w:t>新媒体平台</w:t>
            </w:r>
            <w:r>
              <w:rPr>
                <w:rFonts w:hint="default" w:ascii="仿宋" w:hAnsi="仿宋" w:eastAsia="仿宋"/>
                <w:color w:val="000000"/>
                <w:w w:val="95"/>
                <w:sz w:val="24"/>
                <w:szCs w:val="24"/>
                <w:lang w:val="en-US" w:eastAsia="zh-CN"/>
              </w:rPr>
              <w:t>同步亮相，带领世界各国观众领略中国在乡村振兴所取得的成绩，见识最真实的中国面孔，感受来自中国乡村的独特魅力。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1323"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82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pacing w:val="-10"/>
                <w:sz w:val="24"/>
                <w:szCs w:val="18"/>
                <w:lang w:val="en-US" w:eastAsia="zh-CN"/>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最高</w:t>
            </w:r>
            <w:r>
              <w:rPr>
                <w:rFonts w:hint="eastAsia" w:ascii="楷体" w:hAnsi="楷体" w:eastAsia="楷体" w:cs="楷体"/>
                <w:b/>
                <w:bCs/>
                <w:color w:val="000000"/>
                <w:sz w:val="24"/>
                <w:szCs w:val="18"/>
              </w:rPr>
              <w:t>平台</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297" w:type="dxa"/>
            <w:gridSpan w:val="7"/>
            <w:tcBorders>
              <w:tl2br w:val="nil"/>
              <w:tr2bl w:val="nil"/>
            </w:tcBorders>
            <w:vAlign w:val="center"/>
          </w:tcPr>
          <w:p>
            <w:pPr>
              <w:spacing w:line="280" w:lineRule="exact"/>
              <w:rPr>
                <w:rFonts w:hint="eastAsia" w:ascii="仿宋" w:hAnsi="仿宋" w:eastAsia="仿宋"/>
                <w:color w:val="000000"/>
                <w:szCs w:val="21"/>
              </w:rPr>
            </w:pPr>
            <w:r>
              <w:rPr>
                <w:rFonts w:hint="eastAsia" w:ascii="仿宋" w:hAnsi="仿宋" w:eastAsia="仿宋" w:cs="仿宋"/>
                <w:color w:val="000000"/>
                <w:sz w:val="21"/>
                <w:szCs w:val="15"/>
                <w:highlight w:val="none"/>
                <w:lang w:val="en-US" w:eastAsia="zh-CN"/>
              </w:rPr>
              <w:t>https://www.fjtv.net/haibo4/haibo4-api/zhuantifenxiang/?id=3314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1323"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826" w:type="dxa"/>
            <w:gridSpan w:val="2"/>
            <w:tcBorders>
              <w:tl2br w:val="nil"/>
              <w:tr2bl w:val="nil"/>
            </w:tcBorders>
            <w:shd w:val="clear" w:color="auto" w:fill="auto"/>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33万</w:t>
            </w:r>
          </w:p>
        </w:tc>
        <w:tc>
          <w:tcPr>
            <w:tcW w:w="881" w:type="dxa"/>
            <w:tcBorders>
              <w:tl2br w:val="nil"/>
              <w:tr2bl w:val="nil"/>
            </w:tcBorders>
            <w:shd w:val="clear" w:color="auto" w:fill="auto"/>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563" w:type="dxa"/>
            <w:gridSpan w:val="3"/>
            <w:tcBorders>
              <w:tl2br w:val="nil"/>
              <w:tr2bl w:val="nil"/>
            </w:tcBorders>
            <w:vAlign w:val="center"/>
          </w:tcPr>
          <w:p>
            <w:pPr>
              <w:spacing w:line="240" w:lineRule="exact"/>
              <w:rPr>
                <w:rFonts w:hint="default" w:ascii="仿宋" w:hAnsi="仿宋" w:eastAsia="仿宋"/>
                <w:color w:val="000000"/>
                <w:sz w:val="21"/>
                <w:szCs w:val="21"/>
                <w:lang w:val="en-US" w:eastAsia="zh-CN"/>
              </w:rPr>
            </w:pPr>
            <w:r>
              <w:rPr>
                <w:rFonts w:hint="default" w:ascii="仿宋" w:hAnsi="仿宋" w:eastAsia="仿宋"/>
                <w:color w:val="000000"/>
                <w:sz w:val="21"/>
                <w:szCs w:val="21"/>
                <w:lang w:val="en-US" w:eastAsia="zh-CN"/>
              </w:rPr>
              <w:t>18000</w:t>
            </w:r>
          </w:p>
        </w:tc>
        <w:tc>
          <w:tcPr>
            <w:tcW w:w="1122" w:type="dxa"/>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408" w:type="dxa"/>
            <w:tcBorders>
              <w:tl2br w:val="nil"/>
              <w:tr2bl w:val="nil"/>
            </w:tcBorders>
            <w:vAlign w:val="center"/>
          </w:tcPr>
          <w:p>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8" w:hRule="exact"/>
        </w:trPr>
        <w:tc>
          <w:tcPr>
            <w:tcW w:w="1323" w:type="dxa"/>
            <w:tcBorders>
              <w:tl2br w:val="nil"/>
              <w:tr2bl w:val="nil"/>
            </w:tcBorders>
            <w:vAlign w:val="center"/>
          </w:tcPr>
          <w:p>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9123"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56" w:firstLineChars="200"/>
              <w:textAlignment w:val="auto"/>
              <w:rPr>
                <w:rFonts w:hint="eastAsia" w:ascii="仿宋" w:hAnsi="仿宋" w:eastAsia="仿宋"/>
                <w:color w:val="000000"/>
                <w:w w:val="95"/>
                <w:sz w:val="24"/>
                <w:szCs w:val="24"/>
                <w:lang w:val="en-US" w:eastAsia="zh-CN"/>
              </w:rPr>
            </w:pPr>
            <w:r>
              <w:rPr>
                <w:rFonts w:hint="eastAsia" w:ascii="仿宋" w:hAnsi="仿宋" w:eastAsia="仿宋"/>
                <w:color w:val="000000"/>
                <w:w w:val="95"/>
                <w:sz w:val="24"/>
                <w:szCs w:val="24"/>
                <w:lang w:val="en-US" w:eastAsia="zh-CN"/>
              </w:rPr>
              <w:t>纪录片《田野之上》以最基层的普通人为故事主体，着眼人类的共同关注，传递出不分地域、种族的人类共同价值和共同情感，书写了一部记录中国乡村振兴伟大征程的时代影像志。</w:t>
            </w:r>
          </w:p>
          <w:p>
            <w:pPr>
              <w:keepNext w:val="0"/>
              <w:keepLines w:val="0"/>
              <w:pageBreakBefore w:val="0"/>
              <w:widowControl w:val="0"/>
              <w:kinsoku/>
              <w:wordWrap/>
              <w:overflowPunct/>
              <w:topLinePunct w:val="0"/>
              <w:autoSpaceDE/>
              <w:autoSpaceDN/>
              <w:bidi w:val="0"/>
              <w:adjustRightInd/>
              <w:snapToGrid/>
              <w:spacing w:line="360" w:lineRule="exact"/>
              <w:ind w:firstLine="456" w:firstLineChars="200"/>
              <w:textAlignment w:val="auto"/>
              <w:rPr>
                <w:rFonts w:hint="eastAsia" w:ascii="仿宋" w:hAnsi="仿宋" w:eastAsia="仿宋"/>
                <w:color w:val="000000"/>
                <w:w w:val="95"/>
                <w:sz w:val="24"/>
                <w:szCs w:val="24"/>
                <w:lang w:val="en-US" w:eastAsia="zh-CN"/>
              </w:rPr>
            </w:pPr>
            <w:r>
              <w:rPr>
                <w:rFonts w:hint="eastAsia" w:ascii="仿宋" w:hAnsi="仿宋" w:eastAsia="仿宋"/>
                <w:color w:val="000000"/>
                <w:w w:val="95"/>
                <w:sz w:val="24"/>
                <w:szCs w:val="24"/>
                <w:lang w:val="en-US" w:eastAsia="zh-CN"/>
              </w:rPr>
              <w:t>纪录片不仅创新采用纪实摄影的方式将路途中遇见的人和故事记录下来，也安排了摄制团队进行长期驻村拍摄，实现了静态与动态影像相结合，从不同角度探究当代中国乡村在农业、生态、产业、文化等诸多方面的现状，呈现乡村的变迁脚步。</w:t>
            </w:r>
          </w:p>
          <w:p>
            <w:pPr>
              <w:keepNext w:val="0"/>
              <w:keepLines w:val="0"/>
              <w:pageBreakBefore w:val="0"/>
              <w:widowControl w:val="0"/>
              <w:kinsoku/>
              <w:wordWrap/>
              <w:overflowPunct/>
              <w:topLinePunct w:val="0"/>
              <w:autoSpaceDE/>
              <w:autoSpaceDN/>
              <w:bidi w:val="0"/>
              <w:adjustRightInd/>
              <w:snapToGrid/>
              <w:spacing w:line="360" w:lineRule="exact"/>
              <w:ind w:firstLine="456" w:firstLineChars="200"/>
              <w:textAlignment w:val="auto"/>
              <w:rPr>
                <w:rFonts w:hint="eastAsia" w:ascii="仿宋" w:hAnsi="仿宋" w:eastAsia="仿宋"/>
                <w:color w:val="000000"/>
                <w:w w:val="95"/>
                <w:sz w:val="24"/>
                <w:szCs w:val="24"/>
                <w:lang w:val="en-US" w:eastAsia="zh-CN"/>
              </w:rPr>
            </w:pPr>
            <w:r>
              <w:rPr>
                <w:rFonts w:hint="eastAsia" w:ascii="仿宋" w:hAnsi="仿宋" w:eastAsia="仿宋"/>
                <w:color w:val="000000"/>
                <w:w w:val="95"/>
                <w:sz w:val="24"/>
                <w:szCs w:val="24"/>
                <w:lang w:val="en-US" w:eastAsia="zh-CN"/>
              </w:rPr>
              <w:t>作品以9.2分高口碑收获行业与观众双重认可，权威媒体多维报道，破圈传播，提高了节目声量。同时，本片入选了国家广电总局2025年度优秀网络视听作品，输出了优质的乡村产业振兴故事，有效触达大众用户。</w:t>
            </w:r>
          </w:p>
          <w:p>
            <w:pPr>
              <w:keepNext w:val="0"/>
              <w:keepLines w:val="0"/>
              <w:pageBreakBefore w:val="0"/>
              <w:widowControl w:val="0"/>
              <w:kinsoku/>
              <w:wordWrap/>
              <w:overflowPunct/>
              <w:topLinePunct w:val="0"/>
              <w:autoSpaceDE/>
              <w:autoSpaceDN/>
              <w:bidi w:val="0"/>
              <w:adjustRightInd/>
              <w:snapToGrid/>
              <w:spacing w:line="360" w:lineRule="exact"/>
              <w:ind w:firstLine="456" w:firstLineChars="200"/>
              <w:textAlignment w:val="auto"/>
              <w:rPr>
                <w:rFonts w:hint="eastAsia" w:ascii="仿宋" w:hAnsi="仿宋" w:eastAsia="仿宋"/>
                <w:color w:val="000000"/>
                <w:w w:val="95"/>
                <w:sz w:val="24"/>
                <w:szCs w:val="24"/>
                <w:lang w:val="en-US" w:eastAsia="zh-CN"/>
              </w:rPr>
            </w:pPr>
            <w:r>
              <w:rPr>
                <w:rFonts w:hint="eastAsia" w:ascii="仿宋" w:hAnsi="仿宋" w:eastAsia="仿宋"/>
                <w:color w:val="000000"/>
                <w:w w:val="95"/>
                <w:sz w:val="24"/>
                <w:szCs w:val="24"/>
                <w:lang w:val="en-US" w:eastAsia="zh-CN"/>
              </w:rPr>
              <w:t>纪录片《田野之上》立足中国式现代化背景下的乡村振兴实践，以创新的叙事手法和深度的主题挖掘为支撑，不仅立体呈现了乡村振兴战略下的发展动能，更深刻诠释了中国式现代化的核心内涵，为新</w:t>
            </w:r>
            <w:bookmarkStart w:id="0" w:name="_GoBack"/>
            <w:bookmarkEnd w:id="0"/>
            <w:r>
              <w:rPr>
                <w:rFonts w:hint="eastAsia" w:ascii="仿宋" w:hAnsi="仿宋" w:eastAsia="仿宋"/>
                <w:color w:val="000000"/>
                <w:w w:val="95"/>
                <w:sz w:val="24"/>
                <w:szCs w:val="24"/>
                <w:lang w:val="en-US" w:eastAsia="zh-CN"/>
              </w:rPr>
              <w:t>时代乡村题材纪实创作提供了优秀范本，具有重要的记录价值与传播意义，值得推荐。</w:t>
            </w:r>
          </w:p>
          <w:p>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50"/>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altName w:val="Droid Sans Fallback"/>
    <w:panose1 w:val="02010600040101010101"/>
    <w:charset w:val="86"/>
    <w:family w:val="auto"/>
    <w:pitch w:val="default"/>
    <w:sig w:usb0="00000000" w:usb1="00000000" w:usb2="00000000" w:usb3="00000000" w:csb0="0004009F" w:csb1="DFD70000"/>
  </w:font>
  <w:font w:name="楷体">
    <w:altName w:val="Droid Sans Fallback"/>
    <w:panose1 w:val="02010609060101010101"/>
    <w:charset w:val="86"/>
    <w:family w:val="modern"/>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3YzBiMGI5NDFlM2ZmZWU3ZTA2YjNhYmYzNjZmMWIifQ=="/>
    <w:docVar w:name="KSO_WPS_MARK_KEY" w:val="4c838654-29f4-41be-a54c-e6c18bc27b8d"/>
  </w:docVars>
  <w:rsids>
    <w:rsidRoot w:val="00000000"/>
    <w:rsid w:val="06C477F9"/>
    <w:rsid w:val="097906FF"/>
    <w:rsid w:val="0A314E36"/>
    <w:rsid w:val="103E4A53"/>
    <w:rsid w:val="11DA193A"/>
    <w:rsid w:val="12EB1878"/>
    <w:rsid w:val="13CF57F4"/>
    <w:rsid w:val="15C471A6"/>
    <w:rsid w:val="18AB01A9"/>
    <w:rsid w:val="1B1F6C2C"/>
    <w:rsid w:val="1E9B0CC0"/>
    <w:rsid w:val="1EA86D29"/>
    <w:rsid w:val="210B5C89"/>
    <w:rsid w:val="212705E9"/>
    <w:rsid w:val="21A54417"/>
    <w:rsid w:val="21BD31D9"/>
    <w:rsid w:val="221A3813"/>
    <w:rsid w:val="228D6B72"/>
    <w:rsid w:val="23953EC0"/>
    <w:rsid w:val="291819B2"/>
    <w:rsid w:val="296C6A09"/>
    <w:rsid w:val="2A5F2BA2"/>
    <w:rsid w:val="2AC843F6"/>
    <w:rsid w:val="2E44260A"/>
    <w:rsid w:val="2E602922"/>
    <w:rsid w:val="2FEC2562"/>
    <w:rsid w:val="33363900"/>
    <w:rsid w:val="33977850"/>
    <w:rsid w:val="34A511A6"/>
    <w:rsid w:val="36033316"/>
    <w:rsid w:val="36897924"/>
    <w:rsid w:val="36FB00F6"/>
    <w:rsid w:val="38284F1B"/>
    <w:rsid w:val="3E326FCB"/>
    <w:rsid w:val="3F84512C"/>
    <w:rsid w:val="3F8459B8"/>
    <w:rsid w:val="41F32FFB"/>
    <w:rsid w:val="43CD6976"/>
    <w:rsid w:val="451417FC"/>
    <w:rsid w:val="480C3F11"/>
    <w:rsid w:val="4CA94913"/>
    <w:rsid w:val="4DEB45C9"/>
    <w:rsid w:val="54591640"/>
    <w:rsid w:val="582B03E3"/>
    <w:rsid w:val="5A615E58"/>
    <w:rsid w:val="5B9B44B1"/>
    <w:rsid w:val="5BF64864"/>
    <w:rsid w:val="5BFC7A7E"/>
    <w:rsid w:val="5D250E1A"/>
    <w:rsid w:val="5E05699F"/>
    <w:rsid w:val="5F0F1F51"/>
    <w:rsid w:val="60DF1D6B"/>
    <w:rsid w:val="60E5134B"/>
    <w:rsid w:val="61801311"/>
    <w:rsid w:val="630F26B0"/>
    <w:rsid w:val="64702CF0"/>
    <w:rsid w:val="65314B5F"/>
    <w:rsid w:val="697B0A9F"/>
    <w:rsid w:val="6D7E6628"/>
    <w:rsid w:val="70205EFC"/>
    <w:rsid w:val="70486572"/>
    <w:rsid w:val="70CD2B43"/>
    <w:rsid w:val="73F26870"/>
    <w:rsid w:val="746C7E69"/>
    <w:rsid w:val="751D0C5C"/>
    <w:rsid w:val="75556317"/>
    <w:rsid w:val="78AA2807"/>
    <w:rsid w:val="79E47F9A"/>
    <w:rsid w:val="7A8157E9"/>
    <w:rsid w:val="7BC938EC"/>
    <w:rsid w:val="7DAF0AC7"/>
    <w:rsid w:val="7F814C08"/>
    <w:rsid w:val="7FDBDB87"/>
    <w:rsid w:val="FFFEC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1407</Words>
  <Characters>1579</Characters>
  <Lines>0</Lines>
  <Paragraphs>0</Paragraphs>
  <TotalTime>11</TotalTime>
  <ScaleCrop>false</ScaleCrop>
  <LinksUpToDate>false</LinksUpToDate>
  <CharactersWithSpaces>1722</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2026-04-07T14:18:00Z</dcterms:created>
  <dc:creator>EDY</dc:creator>
  <cp:lastModifiedBy>greatwall</cp:lastModifiedBy>
  <dcterms:modified xsi:type="dcterms:W3CDTF">2026-05-10T21:34:16Z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