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2" w:hRule="exact"/>
        </w:trPr>
        <w:tc>
          <w:tcPr>
            <w:tcW w:w="992" w:type="dxa"/>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pPr>
              <w:spacing w:line="0" w:lineRule="atLeast"/>
              <w:jc w:val="center"/>
              <w:rPr>
                <w:rFonts w:hint="eastAsia" w:ascii="仿宋" w:hAnsi="仿宋" w:eastAsia="仿宋" w:cs="仿宋"/>
                <w:sz w:val="24"/>
                <w:szCs w:val="24"/>
              </w:rPr>
            </w:pPr>
            <w:r>
              <w:rPr>
                <w:rFonts w:hint="eastAsia" w:ascii="仿宋" w:hAnsi="仿宋" w:eastAsia="仿宋" w:cs="仿宋"/>
                <w:sz w:val="24"/>
                <w:szCs w:val="24"/>
              </w:rPr>
              <w:t>《AI驱动的国际传播新格局下地方主流媒体外宣创新路径探析》</w:t>
            </w:r>
          </w:p>
        </w:tc>
        <w:tc>
          <w:tcPr>
            <w:tcW w:w="1819" w:type="dxa"/>
            <w:gridSpan w:val="2"/>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pPr>
              <w:spacing w:line="0" w:lineRule="atLeast"/>
              <w:jc w:val="center"/>
              <w:rPr>
                <w:rFonts w:hint="eastAsia" w:ascii="仿宋" w:hAnsi="仿宋" w:eastAsia="仿宋" w:cs="仿宋"/>
                <w:color w:val="000000"/>
                <w:sz w:val="24"/>
                <w:szCs w:val="24"/>
              </w:rPr>
            </w:pPr>
            <w:r>
              <w:rPr>
                <w:rFonts w:hint="eastAsia" w:ascii="仿宋" w:hAnsi="仿宋" w:eastAsia="仿宋" w:cs="仿宋"/>
                <w:sz w:val="24"/>
                <w:szCs w:val="24"/>
              </w:rPr>
              <w:t>新闻研究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pPr>
              <w:spacing w:line="0" w:lineRule="atLeast"/>
              <w:jc w:val="center"/>
              <w:rPr>
                <w:rFonts w:hint="eastAsia" w:ascii="仿宋" w:hAnsi="仿宋" w:eastAsia="仿宋" w:cs="仿宋"/>
                <w:sz w:val="24"/>
                <w:szCs w:val="24"/>
              </w:rPr>
            </w:pPr>
            <w:r>
              <w:rPr>
                <w:rFonts w:hint="eastAsia" w:ascii="仿宋" w:hAnsi="仿宋" w:eastAsia="仿宋" w:cs="仿宋"/>
                <w:sz w:val="24"/>
                <w:szCs w:val="24"/>
              </w:rPr>
              <w:t>5582字</w:t>
            </w:r>
          </w:p>
        </w:tc>
        <w:tc>
          <w:tcPr>
            <w:tcW w:w="1819" w:type="dxa"/>
            <w:gridSpan w:val="2"/>
            <w:tcBorders>
              <w:tl2br w:val="nil"/>
              <w:tr2bl w:val="nil"/>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pPr>
              <w:spacing w:line="240" w:lineRule="exact"/>
              <w:rPr>
                <w:rFonts w:hint="eastAsia" w:ascii="仿宋" w:hAnsi="仿宋" w:eastAsia="仿宋" w:cs="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trPr>
        <w:tc>
          <w:tcPr>
            <w:tcW w:w="992" w:type="dxa"/>
            <w:vMerge w:val="continue"/>
            <w:tcBorders>
              <w:tl2br w:val="nil"/>
              <w:tr2bl w:val="nil"/>
            </w:tcBorders>
            <w:vAlign w:val="center"/>
          </w:tcPr>
          <w:p>
            <w:pPr>
              <w:spacing w:line="320" w:lineRule="exact"/>
              <w:jc w:val="center"/>
              <w:rPr>
                <w:rFonts w:ascii="华文中宋" w:hAnsi="华文中宋" w:eastAsia="华文中宋"/>
                <w:color w:val="000000"/>
                <w:sz w:val="28"/>
              </w:rPr>
            </w:pPr>
          </w:p>
        </w:tc>
        <w:tc>
          <w:tcPr>
            <w:tcW w:w="3728" w:type="dxa"/>
            <w:gridSpan w:val="4"/>
            <w:vMerge w:val="continue"/>
            <w:tcBorders>
              <w:tl2br w:val="nil"/>
              <w:tr2bl w:val="nil"/>
            </w:tcBorders>
            <w:vAlign w:val="center"/>
          </w:tcPr>
          <w:p>
            <w:pPr>
              <w:spacing w:line="0" w:lineRule="atLeast"/>
              <w:jc w:val="center"/>
              <w:rPr>
                <w:rFonts w:hint="eastAsia" w:ascii="仿宋" w:hAnsi="仿宋" w:eastAsia="仿宋" w:cs="仿宋"/>
                <w:sz w:val="24"/>
                <w:szCs w:val="24"/>
              </w:rPr>
            </w:pPr>
          </w:p>
        </w:tc>
        <w:tc>
          <w:tcPr>
            <w:tcW w:w="1819" w:type="dxa"/>
            <w:gridSpan w:val="2"/>
            <w:tcBorders>
              <w:tl2br w:val="nil"/>
              <w:tr2bl w:val="nil"/>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pPr>
              <w:spacing w:line="240" w:lineRule="exact"/>
              <w:rPr>
                <w:rFonts w:hint="eastAsia" w:ascii="仿宋" w:hAnsi="仿宋" w:eastAsia="仿宋" w:cs="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pPr>
              <w:spacing w:line="0" w:lineRule="atLeast"/>
              <w:jc w:val="center"/>
              <w:rPr>
                <w:rFonts w:hint="eastAsia" w:ascii="仿宋" w:hAnsi="仿宋" w:eastAsia="仿宋" w:cs="仿宋"/>
                <w:sz w:val="24"/>
                <w:szCs w:val="24"/>
              </w:rPr>
            </w:pPr>
            <w:r>
              <w:rPr>
                <w:rFonts w:hint="eastAsia" w:ascii="仿宋" w:hAnsi="仿宋" w:eastAsia="仿宋" w:cs="仿宋"/>
                <w:sz w:val="24"/>
                <w:szCs w:val="24"/>
              </w:rPr>
              <w:t>王 凡</w:t>
            </w:r>
          </w:p>
        </w:tc>
        <w:tc>
          <w:tcPr>
            <w:tcW w:w="1819" w:type="dxa"/>
            <w:gridSpan w:val="2"/>
            <w:tcBorders>
              <w:tl2br w:val="nil"/>
              <w:tr2bl w:val="nil"/>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pPr>
              <w:spacing w:line="240" w:lineRule="exact"/>
              <w:rPr>
                <w:rFonts w:hint="eastAsia" w:ascii="仿宋" w:hAnsi="仿宋" w:eastAsia="仿宋" w:cs="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pPr>
              <w:spacing w:line="0" w:lineRule="atLeast"/>
              <w:jc w:val="center"/>
              <w:rPr>
                <w:rFonts w:hint="eastAsia" w:ascii="仿宋" w:hAnsi="仿宋" w:eastAsia="仿宋" w:cs="仿宋"/>
                <w:sz w:val="24"/>
                <w:szCs w:val="24"/>
              </w:rPr>
            </w:pPr>
            <w:r>
              <w:rPr>
                <w:rFonts w:hint="eastAsia" w:ascii="仿宋" w:hAnsi="仿宋" w:eastAsia="仿宋" w:cs="仿宋"/>
                <w:sz w:val="24"/>
                <w:szCs w:val="24"/>
              </w:rPr>
              <w:t>厦门广播电视集团</w:t>
            </w:r>
          </w:p>
        </w:tc>
        <w:tc>
          <w:tcPr>
            <w:tcW w:w="1819" w:type="dxa"/>
            <w:gridSpan w:val="2"/>
            <w:tcBorders>
              <w:tl2br w:val="nil"/>
              <w:tr2bl w:val="nil"/>
            </w:tcBorders>
            <w:vAlign w:val="center"/>
          </w:tcPr>
          <w:p>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pPr>
              <w:spacing w:line="0" w:lineRule="atLeast"/>
              <w:jc w:val="center"/>
              <w:rPr>
                <w:rFonts w:hint="eastAsia" w:ascii="仿宋" w:hAnsi="仿宋" w:eastAsia="仿宋" w:cs="仿宋"/>
                <w:sz w:val="24"/>
                <w:szCs w:val="24"/>
              </w:rPr>
            </w:pPr>
            <w:r>
              <w:rPr>
                <w:rFonts w:hint="eastAsia" w:ascii="仿宋" w:hAnsi="仿宋" w:eastAsia="仿宋" w:cs="仿宋"/>
                <w:sz w:val="24"/>
                <w:szCs w:val="24"/>
              </w:rPr>
              <w:t>《东南传播》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2" w:hRule="exact"/>
        </w:trPr>
        <w:tc>
          <w:tcPr>
            <w:tcW w:w="1504" w:type="dxa"/>
            <w:gridSpan w:val="2"/>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7"/>
                <w:sz w:val="24"/>
                <w:szCs w:val="21"/>
              </w:rPr>
              <w:t>（</w:t>
            </w:r>
            <w:r>
              <w:rPr>
                <w:rFonts w:hint="eastAsia" w:ascii="华文中宋" w:hAnsi="华文中宋" w:eastAsia="华文中宋"/>
                <w:color w:val="000000"/>
                <w:spacing w:val="-17"/>
                <w:sz w:val="22"/>
                <w:szCs w:val="21"/>
              </w:rPr>
              <w:t>名称和版次）</w:t>
            </w:r>
          </w:p>
        </w:tc>
        <w:tc>
          <w:tcPr>
            <w:tcW w:w="3216" w:type="dxa"/>
            <w:gridSpan w:val="3"/>
            <w:tcBorders>
              <w:tl2br w:val="nil"/>
              <w:tr2bl w:val="nil"/>
            </w:tcBorders>
            <w:vAlign w:val="center"/>
          </w:tcPr>
          <w:p>
            <w:pPr>
              <w:spacing w:line="0" w:lineRule="atLeast"/>
              <w:jc w:val="center"/>
              <w:rPr>
                <w:rFonts w:hint="eastAsia" w:ascii="仿宋" w:hAnsi="仿宋" w:eastAsia="仿宋" w:cs="仿宋"/>
                <w:sz w:val="24"/>
                <w:szCs w:val="24"/>
              </w:rPr>
            </w:pPr>
            <w:r>
              <w:rPr>
                <w:rFonts w:hint="eastAsia" w:ascii="仿宋" w:hAnsi="仿宋" w:eastAsia="仿宋" w:cs="仿宋"/>
                <w:sz w:val="24"/>
                <w:szCs w:val="24"/>
              </w:rPr>
              <w:t>《东南传播》——</w:t>
            </w:r>
          </w:p>
          <w:p>
            <w:pPr>
              <w:spacing w:line="260" w:lineRule="exact"/>
              <w:jc w:val="center"/>
              <w:rPr>
                <w:rFonts w:ascii="方正仿宋_GB2312" w:hAnsi="仿宋"/>
                <w:color w:val="000000"/>
                <w:szCs w:val="21"/>
              </w:rPr>
            </w:pPr>
            <w:r>
              <w:rPr>
                <w:rFonts w:hint="eastAsia" w:ascii="仿宋" w:hAnsi="仿宋" w:eastAsia="仿宋" w:cs="仿宋"/>
                <w:sz w:val="24"/>
                <w:szCs w:val="24"/>
              </w:rPr>
              <w:t>“传播视点”专栏</w:t>
            </w:r>
          </w:p>
        </w:tc>
        <w:tc>
          <w:tcPr>
            <w:tcW w:w="872" w:type="dxa"/>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4"/>
            <w:tcBorders>
              <w:tl2br w:val="nil"/>
              <w:tr2bl w:val="nil"/>
            </w:tcBorders>
            <w:vAlign w:val="center"/>
          </w:tcPr>
          <w:p>
            <w:pPr>
              <w:spacing w:line="260" w:lineRule="exact"/>
              <w:jc w:val="center"/>
              <w:rPr>
                <w:rFonts w:ascii="方正仿宋_GB2312" w:hAnsi="仿宋"/>
                <w:color w:val="000000"/>
                <w:szCs w:val="21"/>
              </w:rPr>
            </w:pPr>
            <w:r>
              <w:rPr>
                <w:rFonts w:hint="eastAsia" w:ascii="仿宋" w:hAnsi="仿宋" w:eastAsia="仿宋" w:cs="仿宋"/>
                <w:sz w:val="24"/>
                <w:szCs w:val="24"/>
              </w:rPr>
              <w:t>2025年12月20日（第12期）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8" w:hRule="atLeast"/>
        </w:trPr>
        <w:tc>
          <w:tcPr>
            <w:tcW w:w="1504" w:type="dxa"/>
            <w:gridSpan w:val="2"/>
            <w:tcBorders>
              <w:tl2br w:val="nil"/>
              <w:tr2bl w:val="nil"/>
            </w:tcBorders>
            <w:vAlign w:val="center"/>
          </w:tcPr>
          <w:p>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5"/>
            <w:tcBorders>
              <w:tl2br w:val="nil"/>
              <w:tr2bl w:val="nil"/>
            </w:tcBorders>
            <w:vAlign w:val="center"/>
          </w:tcPr>
          <w:p>
            <w:pPr>
              <w:spacing w:line="260" w:lineRule="exact"/>
              <w:rPr>
                <w:rFonts w:ascii="华文中宋" w:hAnsi="华文中宋" w:eastAsia="华文中宋"/>
                <w:color w:val="000000"/>
                <w:sz w:val="28"/>
              </w:rPr>
            </w:pPr>
          </w:p>
        </w:tc>
        <w:tc>
          <w:tcPr>
            <w:tcW w:w="1742" w:type="dxa"/>
            <w:gridSpan w:val="2"/>
            <w:tcBorders>
              <w:tl2br w:val="nil"/>
              <w:tr2bl w:val="nil"/>
            </w:tcBorders>
            <w:vAlign w:val="center"/>
          </w:tcPr>
          <w:p>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pPr>
              <w:spacing w:line="260" w:lineRule="exact"/>
              <w:ind w:firstLine="240" w:firstLineChars="100"/>
              <w:rPr>
                <w:rFonts w:ascii="华文中宋" w:hAnsi="华文中宋" w:eastAsia="华文中宋"/>
                <w:color w:val="000000"/>
                <w:sz w:val="28"/>
              </w:rPr>
            </w:pPr>
            <w:r>
              <w:rPr>
                <w:rFonts w:hint="eastAsia" w:ascii="仿宋" w:hAnsi="仿宋" w:eastAsia="仿宋" w:cs="仿宋"/>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9"/>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ascii="仿宋" w:hAnsi="仿宋" w:eastAsia="仿宋"/>
                <w:color w:val="000000"/>
                <w:w w:val="95"/>
                <w:sz w:val="21"/>
                <w:szCs w:val="21"/>
              </w:rPr>
            </w:pPr>
            <w:r>
              <w:rPr>
                <w:rFonts w:hint="eastAsia" w:ascii="仿宋" w:hAnsi="仿宋" w:eastAsia="仿宋" w:cs="仿宋"/>
                <w:sz w:val="24"/>
                <w:szCs w:val="24"/>
              </w:rPr>
              <w:t>本文聚焦人工智能（AI）技术驱动下的国际传播新格局，系统探讨地方主流媒体外宣创新路径。文章以国际传播从1.0到3.0的范式演进为背景，分析了AI技术在内容生产智能化、精准传播数据化、交互模式双向化三个维度对国际传播格局变化的驱动作用；梳理了地方主流媒体在跟随中央媒体开展国际传播过程中取得的实践成果，同时指出其面临技术应用、文化资源整合、场景适配等方面的现实问题</w:t>
            </w:r>
            <w:r>
              <w:rPr>
                <w:rFonts w:hint="eastAsia" w:ascii="仿宋" w:hAnsi="仿宋" w:eastAsia="仿宋" w:cs="仿宋"/>
                <w:sz w:val="24"/>
                <w:szCs w:val="24"/>
                <w:shd w:val="clear" w:color="auto" w:fill="FFFFFF"/>
              </w:rPr>
              <w:t>。基于此，</w:t>
            </w:r>
            <w:r>
              <w:rPr>
                <w:rFonts w:hint="eastAsia" w:ascii="仿宋" w:hAnsi="仿宋" w:eastAsia="仿宋" w:cs="仿宋"/>
                <w:sz w:val="24"/>
                <w:szCs w:val="24"/>
              </w:rPr>
              <w:t>本文按基础-核心-抓手-保障的逻辑链条提出系统性建议，旨在为地方主流媒体外宣实践提供新的视角和方法</w:t>
            </w:r>
            <w:r>
              <w:rPr>
                <w:rFonts w:hint="eastAsia" w:ascii="仿宋" w:hAnsi="仿宋" w:eastAsia="仿宋" w:cs="仿宋"/>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7"/>
            <w:tcBorders>
              <w:tl2br w:val="nil"/>
              <w:tr2bl w:val="nil"/>
            </w:tcBorders>
            <w:vAlign w:val="center"/>
          </w:tcPr>
          <w:p>
            <w:pPr>
              <w:spacing w:line="280" w:lineRule="exact"/>
              <w:rPr>
                <w:rFonts w:ascii="仿宋" w:hAnsi="仿宋" w:eastAsia="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pPr>
              <w:spacing w:line="320" w:lineRule="exact"/>
              <w:jc w:val="center"/>
              <w:rPr>
                <w:rFonts w:ascii="华文中宋" w:hAnsi="华文中宋" w:eastAsia="华文中宋"/>
                <w:color w:val="000000"/>
                <w:sz w:val="28"/>
              </w:rPr>
            </w:pPr>
          </w:p>
        </w:tc>
        <w:tc>
          <w:tcPr>
            <w:tcW w:w="1400" w:type="dxa"/>
            <w:gridSpan w:val="2"/>
            <w:tcBorders>
              <w:tl2br w:val="nil"/>
              <w:tr2bl w:val="nil"/>
            </w:tcBorders>
            <w:shd w:val="clear" w:color="auto" w:fill="auto"/>
            <w:vAlign w:val="center"/>
          </w:tcPr>
          <w:p>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tcBorders>
              <w:tl2br w:val="nil"/>
              <w:tr2bl w:val="nil"/>
            </w:tcBorders>
            <w:shd w:val="clear" w:color="auto" w:fill="auto"/>
            <w:vAlign w:val="center"/>
          </w:tcPr>
          <w:p>
            <w:pPr>
              <w:spacing w:line="240" w:lineRule="exact"/>
              <w:rPr>
                <w:rFonts w:ascii="仿宋" w:hAnsi="仿宋" w:eastAsia="仿宋"/>
                <w:color w:val="000000"/>
                <w:sz w:val="21"/>
                <w:szCs w:val="21"/>
              </w:rPr>
            </w:pPr>
          </w:p>
        </w:tc>
        <w:tc>
          <w:tcPr>
            <w:tcW w:w="1005" w:type="dxa"/>
            <w:tcBorders>
              <w:tl2br w:val="nil"/>
              <w:tr2bl w:val="nil"/>
            </w:tcBorders>
            <w:shd w:val="clear" w:color="auto" w:fill="auto"/>
            <w:vAlign w:val="center"/>
          </w:tcPr>
          <w:p>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3"/>
            <w:tcBorders>
              <w:tl2br w:val="nil"/>
              <w:tr2bl w:val="nil"/>
            </w:tcBorders>
            <w:vAlign w:val="center"/>
          </w:tcPr>
          <w:p>
            <w:pPr>
              <w:spacing w:line="240" w:lineRule="exact"/>
              <w:rPr>
                <w:rFonts w:ascii="仿宋" w:hAnsi="仿宋" w:eastAsia="仿宋"/>
                <w:color w:val="000000"/>
                <w:sz w:val="21"/>
                <w:szCs w:val="21"/>
              </w:rPr>
            </w:pPr>
          </w:p>
        </w:tc>
        <w:tc>
          <w:tcPr>
            <w:tcW w:w="1122" w:type="dxa"/>
            <w:tcBorders>
              <w:tl2br w:val="nil"/>
              <w:tr2bl w:val="nil"/>
            </w:tcBorders>
            <w:vAlign w:val="center"/>
          </w:tcPr>
          <w:p>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pPr>
              <w:spacing w:line="240" w:lineRule="exact"/>
              <w:rPr>
                <w:rFonts w:ascii="仿宋" w:hAnsi="仿宋" w:eastAsia="仿宋"/>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9" w:hRule="exact"/>
        </w:trPr>
        <w:tc>
          <w:tcPr>
            <w:tcW w:w="992" w:type="dxa"/>
            <w:tcBorders>
              <w:tl2br w:val="nil"/>
              <w:tr2bl w:val="nil"/>
            </w:tcBorders>
            <w:vAlign w:val="center"/>
          </w:tcPr>
          <w:p>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20" w:lineRule="exact"/>
              <w:jc w:val="center"/>
              <w:rPr>
                <w:rFonts w:ascii="华文中宋" w:hAnsi="华文中宋" w:eastAsia="华文中宋"/>
                <w:sz w:val="28"/>
              </w:rPr>
            </w:pPr>
            <w:r>
              <w:rPr>
                <w:rFonts w:hint="eastAsia" w:ascii="华文中宋" w:hAnsi="华文中宋" w:eastAsia="华文中宋"/>
                <w:sz w:val="28"/>
              </w:rPr>
              <w:t>初推</w:t>
            </w:r>
          </w:p>
          <w:p>
            <w:pPr>
              <w:spacing w:line="320" w:lineRule="exact"/>
              <w:jc w:val="center"/>
              <w:rPr>
                <w:rFonts w:ascii="华文中宋" w:hAnsi="华文中宋" w:eastAsia="华文中宋"/>
                <w:sz w:val="28"/>
              </w:rPr>
            </w:pPr>
            <w:r>
              <w:rPr>
                <w:rFonts w:hint="eastAsia" w:ascii="华文中宋" w:hAnsi="华文中宋" w:eastAsia="华文中宋"/>
                <w:sz w:val="28"/>
              </w:rPr>
              <w:t>评荐</w:t>
            </w:r>
          </w:p>
          <w:p>
            <w:pPr>
              <w:spacing w:line="320" w:lineRule="exact"/>
              <w:jc w:val="center"/>
              <w:rPr>
                <w:rFonts w:ascii="华文中宋" w:hAnsi="华文中宋" w:eastAsia="华文中宋"/>
                <w:sz w:val="28"/>
              </w:rPr>
            </w:pPr>
            <w:r>
              <w:rPr>
                <w:rFonts w:hint="eastAsia" w:ascii="华文中宋" w:hAnsi="华文中宋" w:eastAsia="华文中宋"/>
                <w:sz w:val="28"/>
              </w:rPr>
              <w:t>评理</w:t>
            </w:r>
          </w:p>
          <w:p>
            <w:pPr>
              <w:spacing w:line="320" w:lineRule="exact"/>
              <w:jc w:val="center"/>
              <w:rPr>
                <w:rFonts w:ascii="华文中宋" w:hAnsi="华文中宋" w:eastAsia="华文中宋"/>
                <w:sz w:val="28"/>
              </w:rPr>
            </w:pPr>
            <w:r>
              <w:rPr>
                <w:rFonts w:hint="eastAsia" w:ascii="华文中宋" w:hAnsi="华文中宋" w:eastAsia="华文中宋"/>
                <w:sz w:val="28"/>
              </w:rPr>
              <w:t>语由</w:t>
            </w:r>
          </w:p>
          <w:p>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9"/>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论文紧扣“AI+国际传播”前沿课题，具有鲜明的问题导向与实践价值。视角层面，文章以地方主流媒体为切入点，区别于既有研究聚焦中央媒体的惯常路径，关注四级传播体系中“体量最大、覆盖最广”的媒体集群，丰富了国际传播理论研究。方法层面，基于省内多家媒体的实际案例，总结地方媒体AI应用经验与痛点，提出路径建议具有较强操作性。价值层面，文章回应了中央关于增强主流媒体国际传播能力的要求，为破解地方国际传播瓶颈、弥合央地国际传播能力断层提供了新思路，对构建多元共建、多元共鸣的国际传播大格局具有现实参考意义。</w:t>
            </w:r>
          </w:p>
          <w:p>
            <w:pPr>
              <w:ind w:firstLine="420" w:firstLineChars="200"/>
              <w:rPr>
                <w:rFonts w:hint="eastAsia" w:ascii="仿宋" w:hAnsi="仿宋" w:eastAsia="仿宋" w:cs="仿宋"/>
                <w:color w:val="000000"/>
                <w:sz w:val="21"/>
                <w:szCs w:val="21"/>
                <w:lang w:bidi="ar"/>
              </w:rPr>
            </w:pPr>
          </w:p>
          <w:p>
            <w:pPr>
              <w:ind w:firstLine="420" w:firstLineChars="200"/>
              <w:rPr>
                <w:rFonts w:ascii="仿宋" w:hAnsi="仿宋" w:eastAsia="仿宋" w:cs="仿宋"/>
                <w:color w:val="000000"/>
                <w:sz w:val="21"/>
                <w:szCs w:val="21"/>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华文中宋" w:hAnsi="华文中宋" w:eastAsia="华文中宋"/>
                <w:color w:val="000000"/>
                <w:sz w:val="28"/>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p>
            <w:pPr>
              <w:rPr>
                <w:rFonts w:hint="eastAsia" w:ascii="仿宋" w:hAnsi="仿宋" w:eastAsia="仿宋"/>
                <w:color w:val="000000"/>
                <w:szCs w:val="21"/>
              </w:rPr>
            </w:pPr>
          </w:p>
        </w:tc>
      </w:tr>
    </w:tbl>
    <w:p>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rPr>
      </w:pPr>
      <w:bookmarkStart w:id="0" w:name="_GoBack"/>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altName w:val="Droid Sans Fallback"/>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altName w:val="Droid Sans Fallback"/>
    <w:panose1 w:val="02010609060101010101"/>
    <w:charset w:val="86"/>
    <w:family w:val="modern"/>
    <w:pitch w:val="default"/>
    <w:sig w:usb0="00000000" w:usb1="00000000" w:usb2="00000016"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DB6"/>
    <w:rsid w:val="00003819"/>
    <w:rsid w:val="00095C23"/>
    <w:rsid w:val="001A1DB6"/>
    <w:rsid w:val="00686340"/>
    <w:rsid w:val="007F09AF"/>
    <w:rsid w:val="008739B5"/>
    <w:rsid w:val="00A83965"/>
    <w:rsid w:val="00BD5E0F"/>
    <w:rsid w:val="103E4A53"/>
    <w:rsid w:val="291819B2"/>
    <w:rsid w:val="33363900"/>
    <w:rsid w:val="3FFB9149"/>
    <w:rsid w:val="4CA94913"/>
    <w:rsid w:val="5D250E1A"/>
    <w:rsid w:val="70CD2B43"/>
    <w:rsid w:val="73F26870"/>
    <w:rsid w:val="F73EC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字符"/>
    <w:basedOn w:val="6"/>
    <w:link w:val="3"/>
    <w:qFormat/>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703</Words>
  <Characters>192</Characters>
  <Lines>1</Lines>
  <Paragraphs>1</Paragraphs>
  <TotalTime>19</TotalTime>
  <ScaleCrop>false</ScaleCrop>
  <LinksUpToDate>false</LinksUpToDate>
  <CharactersWithSpaces>894</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2026-04-07T14:18:00Z</dcterms:created>
  <dc:creator>EDY</dc:creator>
  <cp:lastModifiedBy>greatwall</cp:lastModifiedBy>
  <dcterms:modified xsi:type="dcterms:W3CDTF">2026-05-10T21:36:05Z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2052-11.1.0.11719</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D1E8F804244740EF9C47E280E765C5A0_12</vt:lpwstr>
  </property>
</Properties>
</file>