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F9ABD">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b/>
          <w:bCs/>
          <w:color w:val="auto"/>
          <w:sz w:val="32"/>
          <w:szCs w:val="32"/>
          <w:u w:val="none" w:color="auto"/>
        </w:rPr>
        <w:t>编者按</w:t>
      </w:r>
      <w:r>
        <w:rPr>
          <w:rFonts w:hint="default" w:ascii="仿宋_GB2312" w:hAnsi="仿宋_GB2312" w:eastAsia="仿宋_GB2312" w:cs="仿宋_GB2312"/>
          <w:color w:val="auto"/>
          <w:sz w:val="32"/>
          <w:szCs w:val="32"/>
          <w:u w:val="none" w:color="auto"/>
        </w:rPr>
        <w:t>：深入企业一线，对话民营企业家，深刻感受新质生产力蓬勃发展的“民营力量”，这是观察福建高质量发展的一个重要视角。“立”与“破”、“稳”与“进”、“一域”与“全局”，这三组关系对立又统一，体现辩证的思维，蕴含发展的逻辑，从中，我们看到信心和底气，读懂优势和未来。</w:t>
      </w:r>
    </w:p>
    <w:p w14:paraId="408750C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p>
    <w:p w14:paraId="65B0BD36">
      <w:pPr>
        <w:keepNext w:val="0"/>
        <w:keepLines w:val="0"/>
        <w:pageBreakBefore w:val="0"/>
        <w:widowControl w:val="0"/>
        <w:suppressAutoHyphens/>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b w:val="0"/>
          <w:bCs w:val="0"/>
          <w:color w:val="auto"/>
          <w:sz w:val="44"/>
          <w:szCs w:val="44"/>
          <w:highlight w:val="none"/>
          <w:u w:val="none" w:color="auto"/>
          <w:lang w:val="en-US" w:eastAsia="zh-CN"/>
        </w:rPr>
      </w:pPr>
      <w:r>
        <w:rPr>
          <w:rFonts w:hint="default" w:ascii="方正小标宋简体" w:hAnsi="方正小标宋简体" w:eastAsia="方正小标宋简体" w:cs="方正小标宋简体"/>
          <w:b w:val="0"/>
          <w:bCs w:val="0"/>
          <w:color w:val="auto"/>
          <w:sz w:val="44"/>
          <w:szCs w:val="44"/>
          <w:highlight w:val="none"/>
          <w:u w:val="none" w:color="auto"/>
          <w:lang w:val="en-US" w:eastAsia="zh-CN"/>
        </w:rPr>
        <w:t>“立”“破”并举勇闯新路</w:t>
      </w:r>
    </w:p>
    <w:p w14:paraId="61E2CA1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——解读福建新质生产力的“民营力量”（上）</w:t>
      </w:r>
    </w:p>
    <w:p w14:paraId="4E54398E">
      <w:pPr>
        <w:keepNext w:val="0"/>
        <w:keepLines w:val="0"/>
        <w:pageBreakBefore w:val="0"/>
        <w:widowControl w:val="0"/>
        <w:suppressAutoHyphens/>
        <w:kinsoku/>
        <w:wordWrap/>
        <w:overflowPunct/>
        <w:topLinePunct w:val="0"/>
        <w:autoSpaceDE/>
        <w:autoSpaceDN/>
        <w:bidi w:val="0"/>
        <w:adjustRightInd/>
        <w:snapToGrid/>
        <w:spacing w:line="580" w:lineRule="exact"/>
        <w:ind w:firstLine="1928" w:firstLineChars="600"/>
        <w:textAlignment w:val="auto"/>
        <w:rPr>
          <w:rFonts w:hint="default" w:ascii="仿宋_GB2312" w:hAnsi="仿宋_GB2312" w:eastAsia="仿宋_GB2312" w:cs="仿宋_GB2312"/>
          <w:b/>
          <w:bCs/>
          <w:color w:val="auto"/>
          <w:sz w:val="32"/>
          <w:szCs w:val="32"/>
          <w:u w:val="none" w:color="auto"/>
        </w:rPr>
      </w:pPr>
      <w:r>
        <w:rPr>
          <w:rFonts w:hint="eastAsia" w:ascii="仿宋_GB2312" w:hAnsi="仿宋_GB2312" w:eastAsia="仿宋_GB2312" w:cs="仿宋_GB2312"/>
          <w:b/>
          <w:bCs/>
          <w:color w:val="auto"/>
          <w:sz w:val="32"/>
          <w:szCs w:val="32"/>
          <w:u w:val="none" w:color="auto"/>
          <w:lang w:val="en-US" w:eastAsia="zh-CN"/>
        </w:rPr>
        <w:t>本报</w:t>
      </w:r>
      <w:r>
        <w:rPr>
          <w:rFonts w:hint="default" w:ascii="仿宋_GB2312" w:hAnsi="仿宋_GB2312" w:eastAsia="仿宋_GB2312" w:cs="仿宋_GB2312"/>
          <w:b/>
          <w:bCs/>
          <w:color w:val="auto"/>
          <w:sz w:val="32"/>
          <w:szCs w:val="32"/>
          <w:u w:val="none" w:color="auto"/>
        </w:rPr>
        <w:t>记者 方金春 林蔚 林霞</w:t>
      </w:r>
    </w:p>
    <w:p w14:paraId="0FB856C8">
      <w:pPr>
        <w:keepNext w:val="0"/>
        <w:keepLines w:val="0"/>
        <w:pageBreakBefore w:val="0"/>
        <w:widowControl w:val="0"/>
        <w:suppressAutoHyphens/>
        <w:kinsoku/>
        <w:wordWrap/>
        <w:overflowPunct/>
        <w:topLinePunct w:val="0"/>
        <w:autoSpaceDE/>
        <w:autoSpaceDN/>
        <w:bidi w:val="0"/>
        <w:adjustRightInd/>
        <w:snapToGrid/>
        <w:spacing w:line="580" w:lineRule="exact"/>
        <w:ind w:firstLine="1920" w:firstLineChars="600"/>
        <w:textAlignment w:val="auto"/>
        <w:rPr>
          <w:rFonts w:hint="default" w:ascii="仿宋_GB2312" w:hAnsi="仿宋_GB2312" w:eastAsia="仿宋_GB2312" w:cs="仿宋_GB2312"/>
          <w:color w:val="auto"/>
          <w:sz w:val="32"/>
          <w:szCs w:val="32"/>
          <w:u w:val="none" w:color="auto"/>
        </w:rPr>
      </w:pPr>
    </w:p>
    <w:p w14:paraId="69B9B3AC">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立，需担当；破，见魄力。</w:t>
      </w:r>
    </w:p>
    <w:p w14:paraId="192EB10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去年10月，习近平总书记来闽考察，一本蓝色封皮的《1985年—2000年厦门经济社会发展战略》让他记忆犹新。回望来路，改革破题，“不知道，就去摸索，试点先行，摸着石头过河”。</w:t>
      </w:r>
    </w:p>
    <w:p w14:paraId="42D81B3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百舸争流，奋楫者先。勇立时代潮头，新福建如何写好高质量发展新答卷？</w:t>
      </w:r>
    </w:p>
    <w:p w14:paraId="5862EF7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习近平总书记把脉定向、指路引航，强调“要在推动科技创新和产业创新深度融合上闯出新路”。</w:t>
      </w:r>
    </w:p>
    <w:p w14:paraId="3F4CA54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如何先立后破，根植发展新质生产力的“点”？如何守正创新，准确把握产业发展脉络的“线”？如何共开新局，协同发力科技与产业深度融合的“面”？洞察时与势，统筹立与破，福建一次次辩证思考、一回回大胆探索，向“新”而行，以“质”致远。</w:t>
      </w:r>
    </w:p>
    <w:p w14:paraId="05BCBAB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2023年8月，中共福建省委十一届四次全会全面部署实施新时代民营经济强省战略。2024年，福建14家企业上榜中国民营企业500强，宁德时代动力电池、福耀汽车玻璃市场占有率稳居全球首位，安踏体育入选全球最具价值运动服饰品牌，九牧王礼服“逐梦”巴黎奥运，越来越多的福建民营企业技术出新、产品出圈、市场出海。</w:t>
      </w:r>
    </w:p>
    <w:p w14:paraId="159A6618">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default" w:ascii="仿宋_GB2312" w:hAnsi="仿宋_GB2312" w:eastAsia="仿宋_GB2312" w:cs="仿宋_GB2312"/>
          <w:b/>
          <w:bCs/>
          <w:color w:val="auto"/>
          <w:sz w:val="32"/>
          <w:szCs w:val="32"/>
          <w:u w:val="none" w:color="auto"/>
        </w:rPr>
      </w:pPr>
      <w:r>
        <w:rPr>
          <w:rFonts w:hint="default" w:ascii="仿宋_GB2312" w:hAnsi="仿宋_GB2312" w:eastAsia="仿宋_GB2312" w:cs="仿宋_GB2312"/>
          <w:b/>
          <w:bCs/>
          <w:color w:val="auto"/>
          <w:sz w:val="32"/>
          <w:szCs w:val="32"/>
          <w:u w:val="none" w:color="auto"/>
        </w:rPr>
        <w:t>立心·立业</w:t>
      </w:r>
    </w:p>
    <w:p w14:paraId="4D191F0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时间的刻度里，蕴藏着拔节生长的力量。</w:t>
      </w:r>
    </w:p>
    <w:p w14:paraId="5C1068A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1985年12月11日的《福建日报》上，知名社会学家费孝通在《福建山海经初识——闽江口速写之二》一文中感慨道，看到当地企业引进国外先进设备进行花岗石建材加工，“我很兴奋，逢人便说这真是点石成金”。</w:t>
      </w:r>
    </w:p>
    <w:p w14:paraId="7235E2DE">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光阴荏苒，当年费孝通先生畅想的“点石成金”，已经魔术般堆起一座座“金山”——在南安，石材业已崛起千亿产业集群。不仅如此，当年人们担忧的“设备靠引进、外商吃大头”问题，也迎刃而解：2022年，全球首台线锯设备在南安水头镇诞生。2024年，与美国、沙特、巴西等国家和地区签订的线锯设备合同成交额超过2000万元。</w:t>
      </w:r>
    </w:p>
    <w:p w14:paraId="037C5E6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曾几何时，面对科技与产业加速迭代，根植于实体经济的广大福建民营企业也曾有过惶惑：传统产业要被时代抛弃了吗？</w:t>
      </w:r>
    </w:p>
    <w:p w14:paraId="67F786A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传统行业不是低端行业，要以科技创新实现产业升级。”2024年1月2日，在由国家发展改革委组织召开的创新发展“晋江经验”促进民营经济高质量发展大会上，安踏集团董事局主席丁世忠对传统产业升级之路信心满满。</w:t>
      </w:r>
    </w:p>
    <w:p w14:paraId="54F93F6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改革开放40多年来，与安踏集团一样，许许多多福建民营企业以“咬定青山不放松”的劲头，心无旁骛做好主业。“赤脚上岸”的闽商一直在竞争最为激烈、附加值又很低的传统产业领域摸爬滚打，却把一条拉链、一双鞋、一张纸等“向新”做成领先全球的极致高新技术产品、“向广”做成一个个深植八闽大地的坚实产业集群。</w:t>
      </w:r>
    </w:p>
    <w:p w14:paraId="0ACC345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一组数据，印证安踏集团的创新之路：近十年累计投入超60亿元用于自主创新研发，其中，2024年上半年研发投入超9亿元，同比增长35.7%。截至2024年6月，安踏集团累计申请国家专利4655件，在中国体育用品品牌中排名第一。</w:t>
      </w:r>
    </w:p>
    <w:p w14:paraId="6572CB1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一条AI算法生产线，反映特步集团的“智改数转”：在今天的特步智能工厂，全行业首创的AI算法单线全品模式把几十条生产线都接入同一个“大脑”，铺布、裁剪、配料、车缝、整烫、包装等所有服装生产工序实现100%数字化，整体生产效率提升近20%。</w:t>
      </w:r>
    </w:p>
    <w:p w14:paraId="2AA072DB">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安踏、特步所在的现代纺织服装业集群，是福建民营企业最早发展起来、最为集中的一个产业，也是福建万亿级支柱产业里曾经最为传统的劳动密集型产业。可今天，福建现代纺织服装产业早已成为新质生产力蓬勃发展最为活跃的一个领域。</w:t>
      </w:r>
    </w:p>
    <w:p w14:paraId="29F0B7F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这充分证明：因地制宜发展新质生产力，传统产业不但不会落伍，反而是一片充满想象空间的希望蓝海，是一条前行有光的火热赛道。</w:t>
      </w:r>
    </w:p>
    <w:p w14:paraId="7E19847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如果说，传统产业的根深叶茂，带来良好的实体经济基础和相对完整的产业链，是福建民营经济发展新质生产力的重要“存量”；那么，数十年坚守实业的踏实创新，无疑是福建民营经济发展新质生产力的一大“增量”。先立后破，一代代福建民营企业家脚踏实地、“立心”奋斗于实体经济，稳稳立起了一个个加快形成新质生产力的产业，福建民营经济这片“广袤森林”也更加郁郁葱葱、生机勃勃。</w:t>
      </w:r>
    </w:p>
    <w:p w14:paraId="27E9151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根深叶茂，主根要扎稳，这是一种企业家精神的体现。”2024年5月23日，习近平总书记在山东省济南市主持召开企业和专家座谈会，他听完丁世忠等企业代表发言后强调，“如果企业成立没几年就倒了，那么我们发展现代产业、培育新质生产力也就没有持久性。”</w:t>
      </w:r>
    </w:p>
    <w:p w14:paraId="6508C5C8">
      <w:pPr>
        <w:keepNext w:val="0"/>
        <w:keepLines w:val="0"/>
        <w:pageBreakBefore w:val="0"/>
        <w:widowControl w:val="0"/>
        <w:suppressAutoHyphens/>
        <w:kinsoku/>
        <w:wordWrap/>
        <w:overflowPunct/>
        <w:topLinePunct w:val="0"/>
        <w:autoSpaceDE/>
        <w:autoSpaceDN/>
        <w:bidi w:val="0"/>
        <w:adjustRightInd/>
        <w:snapToGrid/>
        <w:spacing w:line="580" w:lineRule="exact"/>
        <w:ind w:firstLine="3213" w:firstLineChars="1000"/>
        <w:jc w:val="both"/>
        <w:textAlignment w:val="auto"/>
        <w:rPr>
          <w:rFonts w:hint="default" w:ascii="仿宋_GB2312" w:hAnsi="仿宋_GB2312" w:eastAsia="仿宋_GB2312" w:cs="仿宋_GB2312"/>
          <w:b/>
          <w:bCs/>
          <w:color w:val="auto"/>
          <w:sz w:val="32"/>
          <w:szCs w:val="32"/>
          <w:u w:val="none" w:color="auto"/>
        </w:rPr>
      </w:pPr>
      <w:r>
        <w:rPr>
          <w:rFonts w:hint="default" w:ascii="仿宋_GB2312" w:hAnsi="仿宋_GB2312" w:eastAsia="仿宋_GB2312" w:cs="仿宋_GB2312"/>
          <w:b/>
          <w:bCs/>
          <w:color w:val="auto"/>
          <w:sz w:val="32"/>
          <w:szCs w:val="32"/>
          <w:u w:val="none" w:color="auto"/>
        </w:rPr>
        <w:t>破题·破局</w:t>
      </w:r>
    </w:p>
    <w:p w14:paraId="449CE91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破题，成为摆在民营企业发展新质生产力面前的第一道坎。</w:t>
      </w:r>
    </w:p>
    <w:p w14:paraId="0C00195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被誉为“创新理论之父”的约瑟夫·熊彼特提出，创新就是“生产要素的新组合”，包括采用新的产品，采用新的生产方法，开辟新的市场，控制原材料或半成品的新的供应来源，实现新的生产组织。</w:t>
      </w:r>
    </w:p>
    <w:p w14:paraId="475BF89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在“破”与“立”的辩证法里，从高质量发展破题，成为福建民营企业发展新质生产力的勇敢抉择。</w:t>
      </w:r>
    </w:p>
    <w:p w14:paraId="33A0246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2002年，长乐人陈钦忠决定从长乐传统的钢铁行业转向新兴的光学材料行业时，面临着“三个没有”的困境：没有技术、没有设备、没有原料。彼时，一位福清的企业家朋友因生产急需，千里迢迢从美国“人肉”背回PVD镀膜材料的故事，深深触动了陈钦忠：“外国企业能生产，中国企业怎么就不能？”“三个没有”的困境没有吓退陈钦忠，只有一条路——“干！”没有技术——先立后破，有意识去承接日韩光学材料企业向中国大陆的产能转移，掌握普遍应用的技术先入行；没有设备——从“0”到“1”，自己画图纸然后找工厂加工；没有原料——组织技术班子进行攻关，解决光学原料粉末物理提纯等问题。</w:t>
      </w:r>
    </w:p>
    <w:p w14:paraId="6D3F21FC">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从钢铁行业转向光学材料行业，后来研发生产溅射靶材，每一次向产业链高端环节攀升，陈钦忠都曾遭遇过国外同行“中国人也能做这种高端产品吗”的质疑。“后来，我们以提供全系列靶材的良好市场竞争力，打破了国外企业的垄断。”陈钦忠笑道。在质疑中一路成长的阿石创，其自主研发生产的钼靶材在2023年全球市场占有率28.6%，排名第一。</w:t>
      </w:r>
    </w:p>
    <w:p w14:paraId="3F4BA96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破题者，亦是破局者。福建民营企业对行业领域的专注深耕、对市场动态的敏锐把握、对生产技术的精益求精，成为民营经济发展新质生产力的强劲引擎。</w:t>
      </w:r>
    </w:p>
    <w:p w14:paraId="1230FD9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福建汉特云智能公司也是这么一位破题者和破局者。位于福州仓山区智能产业园的汉特云很低调，与人们印象中火到外网的“网红体质”企业大相径庭。2022年，该公司研发的“笨小宝”从众多机器人中脱颖而出，成功“应聘上岗”北京冬奥场馆，还因为加拿大运动员的一段互动视频风靡全球，成功为“中国智造”作了代言。</w:t>
      </w:r>
    </w:p>
    <w:p w14:paraId="085DBECF">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把汽车的无人驾驶技术运用到‘最后100米’上，是我们研发智能机器人的初衷。”汉特云总经理邹慧云认为“网红”流量的密钥是“破题”早。“本世纪初，我们的核心团队就深耕汽车行业，从燃油汽车到汽车电子产品，继而研发新能源汽车的动力总成、汽车无人驾驶技术。”</w:t>
      </w:r>
    </w:p>
    <w:p w14:paraId="3ED0B7F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对企业技术优势和产业发展走向的把握，让汉特云高层对无人驾驶汽车到智能机器人的赛道转换很有信心。目前，汉特云正深耕园区智能机器人和社区智能机器人两个赛道，并且整合福建区域的上下游企业，打造起一条完整的“福建智造”机器人产业链。</w:t>
      </w:r>
    </w:p>
    <w:p w14:paraId="3B3D35FA">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进入新时代，越来越多的福建民营企业基于对产业发展规律的准确把握，研发新的技术、采用新的生产方法、开辟新的市场：瑞芯微和中科光芯设计研发的芯片获得国内集成电路产业最高荣誉“中国芯”，第三代CTP麒麟电池相继发布，汽车玻璃关键成型工艺、玻璃天线等技术全国领先……破题高质量发展，蹚出一条创新之路。</w:t>
      </w:r>
    </w:p>
    <w:p w14:paraId="30E340F1">
      <w:pPr>
        <w:keepNext w:val="0"/>
        <w:keepLines w:val="0"/>
        <w:pageBreakBefore w:val="0"/>
        <w:widowControl w:val="0"/>
        <w:suppressAutoHyphens/>
        <w:kinsoku/>
        <w:wordWrap/>
        <w:overflowPunct/>
        <w:topLinePunct w:val="0"/>
        <w:autoSpaceDE/>
        <w:autoSpaceDN/>
        <w:bidi w:val="0"/>
        <w:adjustRightInd/>
        <w:snapToGrid/>
        <w:spacing w:line="580" w:lineRule="exact"/>
        <w:ind w:firstLine="3213" w:firstLineChars="1000"/>
        <w:textAlignment w:val="auto"/>
        <w:rPr>
          <w:rFonts w:hint="default" w:ascii="仿宋_GB2312" w:hAnsi="仿宋_GB2312" w:eastAsia="仿宋_GB2312" w:cs="仿宋_GB2312"/>
          <w:b/>
          <w:bCs/>
          <w:color w:val="auto"/>
          <w:sz w:val="32"/>
          <w:szCs w:val="32"/>
          <w:u w:val="none" w:color="auto"/>
        </w:rPr>
      </w:pPr>
      <w:r>
        <w:rPr>
          <w:rFonts w:hint="default" w:ascii="仿宋_GB2312" w:hAnsi="仿宋_GB2312" w:eastAsia="仿宋_GB2312" w:cs="仿宋_GB2312"/>
          <w:b/>
          <w:bCs/>
          <w:color w:val="auto"/>
          <w:sz w:val="32"/>
          <w:szCs w:val="32"/>
          <w:u w:val="none" w:color="auto"/>
        </w:rPr>
        <w:t>新局·新程</w:t>
      </w:r>
    </w:p>
    <w:p w14:paraId="3EC0D0F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立住产业、破题高质量发展之后，再向前行就是全新的局面。发挥后发优势，恰是福建民营经济发展新质生产力的“破立之道”。</w:t>
      </w:r>
    </w:p>
    <w:p w14:paraId="4CE1A19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前些日子，晋江三伍微电子有限公司董事长钟林在自己的个人公众号上写道：“三伍微在2024年有很多的收获，技术在进步，产品在落地，销售业绩和利润都有显著的增长。”</w:t>
      </w:r>
    </w:p>
    <w:p w14:paraId="0B1ADA5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时间回到2018年，彼时的钟林满怀创业热情，却不知带着团队何去何从。“我们创业的时候，射频芯片行业并不火热，很难拿到融资。”这时，晋江市政府找到了钟林，愿意为他们的创业项目投下1000万元的“安芯”基金，这才有了今天全国射频芯片领域前三的三伍微电子。而事实上，晋江市政府早在2016年就注意到全球产业链调整机遇，投入上百亿元布局集成电路产业。</w:t>
      </w:r>
    </w:p>
    <w:p w14:paraId="5613A4B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经济学理论上的后发优势，指的是后起国家在推动工业化方面，与其经济相对落后性共生的特殊有利条件。曾经先进制造等领域积淀较少的劣势，现在却可以用规划的思维“一张蓝图绘到底”，打破旧有的产业布局，“立”起政府、高校、科研机构等多方协同发力的创新生态体，开启科技创新和产业发展深度融合的新局面、新征程。</w:t>
      </w:r>
    </w:p>
    <w:p w14:paraId="7FCAB4E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福建省致慧医疗科技有限公司董事长陈炳地还有一个身份——同济大学医学院老师。“我属于兼职创业。”他笑称。2018年，陈炳地所在团队成功研发全球首创循环肿瘤细胞检测纳米技术，该检测技术仅需4毫升血液，即可对100余种已知癌种和白血病进行指标评估。同年，陈炳地经由福建老乡牵线搭桥成立福建省致慧医疗科技有限公司。“地方对产业转型的强烈诉求，让我们对未来充满信心。”他坦言，“我们还作为同济大学代表项目参加了‘6·18’海创会。”目前，致慧医疗科技已进入从样品到产品，再到产业的高速发展新阶段。</w:t>
      </w:r>
    </w:p>
    <w:p w14:paraId="46509771">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据统计，2023年，福建省全社会研发经费投入1171.7亿元，其中近五成由民营企业投入。全省国家级高新技术企业突破1.4万家年均增长近30%，其中民营企业占90%以上。民营企业牵头设立的国家级企业技术中心67家，占比达85.9%。</w:t>
      </w:r>
    </w:p>
    <w:p w14:paraId="2F12862F">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沉疴尽去，万山皆春。坚持破立并举、先立后破，“破”除旧有发展思路，“立”起焕然一新局面，福建民营企业在实践中生动演绎出的新质生产力辩证法，正在有力推动民营经济新质生产力形成。</w:t>
      </w:r>
    </w:p>
    <w:p w14:paraId="60EA0D4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p>
    <w:p w14:paraId="17162F41">
      <w:pPr>
        <w:keepNext w:val="0"/>
        <w:keepLines w:val="0"/>
        <w:pageBreakBefore w:val="0"/>
        <w:widowControl w:val="0"/>
        <w:suppressAutoHyphens/>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b w:val="0"/>
          <w:bCs w:val="0"/>
          <w:color w:val="auto"/>
          <w:sz w:val="44"/>
          <w:szCs w:val="44"/>
          <w:highlight w:val="none"/>
          <w:u w:val="none" w:color="auto"/>
          <w:lang w:val="en-US" w:eastAsia="zh-CN"/>
        </w:rPr>
      </w:pPr>
      <w:r>
        <w:rPr>
          <w:rFonts w:hint="default" w:ascii="方正小标宋简体" w:hAnsi="方正小标宋简体" w:eastAsia="方正小标宋简体" w:cs="方正小标宋简体"/>
          <w:b w:val="0"/>
          <w:bCs w:val="0"/>
          <w:color w:val="auto"/>
          <w:sz w:val="44"/>
          <w:szCs w:val="44"/>
          <w:highlight w:val="none"/>
          <w:u w:val="none" w:color="auto"/>
          <w:lang w:val="en-US" w:eastAsia="zh-CN"/>
        </w:rPr>
        <w:t>“稳”中蓄势 “进”开新局</w:t>
      </w:r>
    </w:p>
    <w:p w14:paraId="191090E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——解读福建新质生产力的“民营力量”（中）</w:t>
      </w:r>
    </w:p>
    <w:p w14:paraId="56E9262B">
      <w:pPr>
        <w:keepNext w:val="0"/>
        <w:keepLines w:val="0"/>
        <w:pageBreakBefore w:val="0"/>
        <w:widowControl w:val="0"/>
        <w:suppressAutoHyphens/>
        <w:kinsoku/>
        <w:wordWrap/>
        <w:overflowPunct/>
        <w:topLinePunct w:val="0"/>
        <w:autoSpaceDE/>
        <w:autoSpaceDN/>
        <w:bidi w:val="0"/>
        <w:adjustRightInd/>
        <w:snapToGrid/>
        <w:spacing w:line="580" w:lineRule="exact"/>
        <w:ind w:firstLine="1928" w:firstLineChars="600"/>
        <w:textAlignment w:val="auto"/>
        <w:rPr>
          <w:rFonts w:hint="default" w:ascii="仿宋_GB2312" w:hAnsi="仿宋_GB2312" w:eastAsia="仿宋_GB2312" w:cs="仿宋_GB2312"/>
          <w:b/>
          <w:bCs/>
          <w:color w:val="auto"/>
          <w:sz w:val="32"/>
          <w:szCs w:val="32"/>
          <w:u w:val="none" w:color="auto"/>
        </w:rPr>
      </w:pPr>
      <w:r>
        <w:rPr>
          <w:rFonts w:hint="eastAsia" w:ascii="仿宋_GB2312" w:hAnsi="仿宋_GB2312" w:eastAsia="仿宋_GB2312" w:cs="仿宋_GB2312"/>
          <w:b/>
          <w:bCs/>
          <w:color w:val="auto"/>
          <w:sz w:val="32"/>
          <w:szCs w:val="32"/>
          <w:u w:val="none" w:color="auto"/>
          <w:lang w:val="en-US" w:eastAsia="zh-CN"/>
        </w:rPr>
        <w:t>本报</w:t>
      </w:r>
      <w:r>
        <w:rPr>
          <w:rFonts w:hint="default" w:ascii="仿宋_GB2312" w:hAnsi="仿宋_GB2312" w:eastAsia="仿宋_GB2312" w:cs="仿宋_GB2312"/>
          <w:b/>
          <w:bCs/>
          <w:color w:val="auto"/>
          <w:sz w:val="32"/>
          <w:szCs w:val="32"/>
          <w:u w:val="none" w:color="auto"/>
        </w:rPr>
        <w:t>记者 林蔚 方金春 林霞</w:t>
      </w:r>
    </w:p>
    <w:p w14:paraId="68BAD40B">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p>
    <w:p w14:paraId="353A5CE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稳中求进，“稳”是基本盘，“进”是方向和动力。</w:t>
      </w:r>
    </w:p>
    <w:p w14:paraId="2A9BC01F">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中央经济工作会议指出，我国经济基础稳、优势多、韧性强、潜能大，长期向好的支撑条件和基本趋势没有变。我们要正视困难、坚定信心，努力把各方面积极因素转化为发展实绩。</w:t>
      </w:r>
    </w:p>
    <w:p w14:paraId="36258A2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基础稳、优势多、韧性强、潜能大”，这是福建民营经济发展现状的有力写照。一组数据，“秀”出福建引以为傲的“民营力量”：贡献全省近70%的地区生产总值、70.6%的税收、70%以上的科技创新成果、80%以上的城镇劳动就业、94%的企业数量，其中对税收、地区生产总值贡献分别比全国高出两成和一成左右。</w:t>
      </w:r>
    </w:p>
    <w:p w14:paraId="6373956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硬币的另一面，则是复杂多变的经济形势。当前，“黑天鹅”“灰犀牛”加剧不确定性，虽然有坚实的实体经济，有多区叠加的政策优势，但福建民营经济凭何再开新局、再上台阶？营商环境稳、营销市场稳、产业基础稳，这是福建民营企业稳中求进的关键所在。</w:t>
      </w:r>
    </w:p>
    <w:p w14:paraId="75C6A16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eastAsia="zh-CN"/>
        </w:rPr>
      </w:pPr>
      <w:r>
        <w:rPr>
          <w:rFonts w:hint="default" w:ascii="仿宋_GB2312" w:hAnsi="仿宋_GB2312" w:eastAsia="仿宋_GB2312" w:cs="仿宋_GB2312"/>
          <w:color w:val="auto"/>
          <w:sz w:val="32"/>
          <w:szCs w:val="32"/>
          <w:u w:val="none" w:color="auto"/>
        </w:rPr>
        <w:t>福建在新时代民营经济强省战略中提出，要坚持以创新驱动增添动能，推动民营经济成为实现科技自立自强和产业链自主可控的重要力量。“稳”中蓄势、“进”开新局，福建民营经济加快形成新质生产力正当其时、其势日盛</w:t>
      </w:r>
      <w:r>
        <w:rPr>
          <w:rFonts w:hint="eastAsia" w:ascii="仿宋_GB2312" w:hAnsi="仿宋_GB2312" w:eastAsia="仿宋_GB2312" w:cs="仿宋_GB2312"/>
          <w:color w:val="auto"/>
          <w:sz w:val="32"/>
          <w:szCs w:val="32"/>
          <w:u w:val="none" w:color="auto"/>
          <w:lang w:eastAsia="zh-CN"/>
        </w:rPr>
        <w:t>。</w:t>
      </w:r>
    </w:p>
    <w:p w14:paraId="18268738">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default" w:ascii="仿宋_GB2312" w:hAnsi="仿宋_GB2312" w:eastAsia="仿宋_GB2312" w:cs="仿宋_GB2312"/>
          <w:b/>
          <w:bCs/>
          <w:color w:val="auto"/>
          <w:sz w:val="32"/>
          <w:szCs w:val="32"/>
          <w:u w:val="none" w:color="auto"/>
        </w:rPr>
      </w:pPr>
      <w:r>
        <w:rPr>
          <w:rFonts w:hint="default" w:ascii="仿宋_GB2312" w:hAnsi="仿宋_GB2312" w:eastAsia="仿宋_GB2312" w:cs="仿宋_GB2312"/>
          <w:b/>
          <w:bCs/>
          <w:color w:val="auto"/>
          <w:sz w:val="32"/>
          <w:szCs w:val="32"/>
          <w:u w:val="none" w:color="auto"/>
        </w:rPr>
        <w:t>以“稳”聚势</w:t>
      </w:r>
    </w:p>
    <w:p w14:paraId="3C8D2C6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“新年第一会”，福建聚焦优化营商环境。1月2日召开的全省优化营商环境大会提出，要深入实施新时代民营经济强省战略，在推进一流营商环境建设上奋勇争先。</w:t>
      </w:r>
    </w:p>
    <w:p w14:paraId="36D3A84E">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深入实施新时代民营经济强省战略与优化营商环境的关系为何如此密切？答案，藏在省情里。据统计，福建私营企业和个体工商户数量2023年为741.1万户，占全省经营主体总数九成以上。营商环境一头连着党政部门的“有形之手”，一头连着市场的“无形之手”。对福建这样的资源小省、民营经济大省来说，良好的营商环境具有更加重要的作用。</w:t>
      </w:r>
    </w:p>
    <w:p w14:paraId="18DB3C5A">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近年来，福建打出政策组合拳，因地制宜优化营商环境，出台历史上首份营商环境建设规划——《福建省营商环境建设规划（2024—2029年）》，在全国率先出台地方性促进公平竞争条例，建设完善服务企业“四通四到”机制，努力为广大民营企业创新打造公平环境。</w:t>
      </w:r>
    </w:p>
    <w:p w14:paraId="5B6AFA5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但必须看到，目前绝大多数民营企业为中小企业，拥有较少科研资源，在发展新质生产力时难免掣肘重重。作为发展新质生产力的关键要素，科研资源如何实现有效配置？通过优化营商环境让“有形之手”和“无形之手”联手公平配置资源，服务不断涌现的新质生产力需求，已箭在弦上。</w:t>
      </w:r>
    </w:p>
    <w:p w14:paraId="5E1168D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今年是位于泉州的通用技术中纺院海西分院成立的第12个年头，其背后所依托的是中国纺织科学研究院有限公司这一纺织行业科研“国家队”的实力。</w:t>
      </w:r>
    </w:p>
    <w:p w14:paraId="4284AEAB">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地方政府希望我们打造行业科研创新公共服务平台，这正是我们一直在致力实践的。”通用技术中纺院海西分院副院长郑小佳介绍，首先是引领，通过前沿技术研发引领企业创新向高端化攀升；其次是支持，对实地调研发现的中小企业研发瓶颈问题予以技术支持；再次是服务，每年都向企业宣介最新纺织行业标准、推动行业科研成果对接和交流，服务于技术创新。</w:t>
      </w:r>
    </w:p>
    <w:p w14:paraId="5E925EA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用“有形之手”打造科研公共平台，这只是福建推动科研资源经由“有为政府”更好配置到广大民营企业的一个例子。在集成电路、种业创新、生物医药等领域打造若干个产业技术研发公共服务平台，为民营企业提供研发服务；高标准建好民营企业牵头建设的国家工程研究中心，布局新增一批民营企业省级工程研究中心、企业技术中心等创新平台；支持民营企业“智改数转”，推动7个细分行业1100多家企业“集群式”转型……</w:t>
      </w:r>
    </w:p>
    <w:p w14:paraId="29DF93B7">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2024年诺贝尔经济学奖获得者阿西莫格鲁认为，包容性经济制度允许大多数人参与经济活动，并尽最大努力发挥个人才能和技术，这种制度创造公平环境，使得创新过程成为可能。他的观点再次印证公平环境之于创新的重要性。</w:t>
      </w:r>
    </w:p>
    <w:p w14:paraId="73029A0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在产业科技发展浪潮中，中小企业犹如小型船舶难免摇摇晃晃。福建通过打造一流营商环境，为经营主体在不确定环境中发展新质生产力凝聚起了前进的势能。</w:t>
      </w:r>
    </w:p>
    <w:p w14:paraId="2D2BC3F1">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“玉在山而草木润”。据统计，过去三年，我省年均新增经营主体70.71万户，经营主体满意率逐年上升，连续3年保持在85%以上。</w:t>
      </w:r>
    </w:p>
    <w:p w14:paraId="0BD540FD">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default" w:ascii="仿宋_GB2312" w:hAnsi="仿宋_GB2312" w:eastAsia="仿宋_GB2312" w:cs="仿宋_GB2312"/>
          <w:b/>
          <w:bCs/>
          <w:color w:val="auto"/>
          <w:sz w:val="32"/>
          <w:szCs w:val="32"/>
          <w:u w:val="none" w:color="auto"/>
        </w:rPr>
      </w:pPr>
      <w:r>
        <w:rPr>
          <w:rFonts w:hint="default" w:ascii="仿宋_GB2312" w:hAnsi="仿宋_GB2312" w:eastAsia="仿宋_GB2312" w:cs="仿宋_GB2312"/>
          <w:b/>
          <w:bCs/>
          <w:color w:val="auto"/>
          <w:sz w:val="32"/>
          <w:szCs w:val="32"/>
          <w:u w:val="none" w:color="auto"/>
        </w:rPr>
        <w:t>以“稳”谋力</w:t>
      </w:r>
    </w:p>
    <w:p w14:paraId="62BD61C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天下无桥长此桥”的安平桥，位于因为民营经济蜚声全国乃至全球的晋江。晋江本地人自豪地把它称为“宋代的港珠澳大桥”——跨越大海联接内陆市场和海外市场，这是闽商自古以来注重开拓市场的一个真实写照。</w:t>
      </w:r>
    </w:p>
    <w:p w14:paraId="0BEAF1C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根据企业管理中常被用到的“微笑曲线理论”，对发展新质生产力意义重大的研发端和市场端，恰好处在“微笑曲线”两端，也是价值最高的两端。价值最高，意味着开拓创新最难，尤其当前外部环境变化复杂，把握好市场端对于企业发展新质生产力的重要性愈发凸显。</w:t>
      </w:r>
    </w:p>
    <w:p w14:paraId="3346180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“命运对勇士低语：你无法抵御风暴。勇士低声回应：我就是风暴。”面对不可测的市场风暴，福建民营企业积极拥抱新变化，大胆开拓新市场。</w:t>
      </w:r>
    </w:p>
    <w:p w14:paraId="55D8B56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当市场大环境趋向成熟，一个新兴行业诞生就是必然的了。没有所谓的胜出者时代，只有大时代中的胜出者。”胜科纳米福建公司总经理李晓旻对市场之于企业的战略意义思路清晰。胜科纳米凭借其在业内世界领先的科研力量，建立起了国内半导体领域最具规模的第三方实验室。“我们开创了全新的行业赛道——第三方分析测试实验室，这其实是在传统产业链中开辟了一个新的细分市场。”李晓旻直言，胜科纳米布局福建，就是看中了福建位于目标客户群集中区域的市场区位优势——半导体产线一旦出现事故，恢复生产必须分秒必争。</w:t>
      </w:r>
    </w:p>
    <w:p w14:paraId="12593F7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与快速响应市场需求相对应，福建民营企业培育新兴市场所体现出的长期主义同样对加快形成新质生产力意义重大。福建华清电子材料科技有限公司董事局主席施纯锡恰是这么一位长期主义者。</w:t>
      </w:r>
    </w:p>
    <w:p w14:paraId="0BEFE48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华清电子研发生产的电子新材料氮化铝陶瓷，是2004年晋江市引进清华大学“新型陶瓷与精细工艺”国家重点实验室“863计划”重点研究成果进行产业转化的项目。可在2018年之前，华清电子经历了长时间、高投入的科研量产阶段却未盈利。究其原因，原材料进口受限、技术上落后国外固然是一方面，主要还是由于国内尚未形成电子新材料应用领域的市场。</w:t>
      </w:r>
    </w:p>
    <w:p w14:paraId="0F63EBB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我们坚持投入巨资研发，填补国内技术空白。十几年来的技术沉淀，让华清电子牢牢把握住近些年光伏储能、LED封装、5G通信、电动汽车等氮化铝陶瓷下游产业起飞的风口，迅速占领新兴市场。”施纯锡讲述了一个不同于胜科纳米的“拼市场”故事，持之以恒重视发展新质生产力，无疑也是这个故事反转的关键。</w:t>
      </w:r>
    </w:p>
    <w:p w14:paraId="227DDE1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在厦门，作为储能领域的明星企业，海辰储能凭借“无内不稳，无外不强”的核心战略，在激烈的全球市场竞争中崭露头角。成立五年，海辰储能已成长为全球储能电池出货量前三的“独角兽”企业。</w:t>
      </w:r>
    </w:p>
    <w:p w14:paraId="19B9603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海辰储能联合创始人、总裁王鹏程表示，在全球能源转型加速推进的背景下，海辰储能将以科技创新引领新质生产力发展，开启新的五年“中长跑”。“无内不稳”，公司要持续加大布局国内生产线和先进产能，进一步夯实国内市场基本盘；“无外不强”，以进取的姿态全面推进国际化进程，积极开拓增量市场。目前海辰储能已完成了厦门、重庆、深圳、菏泽四大基地及研究院的布局。同时加快国际化进程，目前公司产品方案全球交付项目数量累计超300个。</w:t>
      </w:r>
    </w:p>
    <w:p w14:paraId="5B6A91E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以市场之“稳”谋求新质生产力的前进之力，以新质生产力的前进之力谋求市场之“稳”，这样“稳”“进”相生的故事，在福建民营企业中每天都在发生。</w:t>
      </w:r>
    </w:p>
    <w:p w14:paraId="783FE8DE">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default" w:ascii="仿宋_GB2312" w:hAnsi="仿宋_GB2312" w:eastAsia="仿宋_GB2312" w:cs="仿宋_GB2312"/>
          <w:b/>
          <w:bCs/>
          <w:color w:val="auto"/>
          <w:sz w:val="32"/>
          <w:szCs w:val="32"/>
          <w:u w:val="none" w:color="auto"/>
        </w:rPr>
      </w:pPr>
      <w:r>
        <w:rPr>
          <w:rFonts w:hint="default" w:ascii="仿宋_GB2312" w:hAnsi="仿宋_GB2312" w:eastAsia="仿宋_GB2312" w:cs="仿宋_GB2312"/>
          <w:b/>
          <w:bCs/>
          <w:color w:val="auto"/>
          <w:sz w:val="32"/>
          <w:szCs w:val="32"/>
          <w:u w:val="none" w:color="auto"/>
        </w:rPr>
        <w:t>以“稳”赋能</w:t>
      </w:r>
    </w:p>
    <w:p w14:paraId="514D953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“且夫水之积也不厚，则其负大舟也无力。”“风之积也不厚，则其负大翼也无力。”庄子《逍遥游》中这两句话形象说出了厚实积累与前进动力的关系。</w:t>
      </w:r>
    </w:p>
    <w:p w14:paraId="384FD88E">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长期以来，福建民营企业坚守主业、做强实业。厚实产业基础所带来的产业“稳”，正赋予福建加快形成新质生产力的新动能新优势。</w:t>
      </w:r>
    </w:p>
    <w:p w14:paraId="1EDF0A0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在中国鞋都莆田，一个鞋服产业的全新生态链正被不断构建完善。抓住工业互联网的风口，整合供应链和技术优势，打造柔性快反供应链，通过私人定制、个性化、柔性化生产新模式，推动鞋服产业高质量发展。“福建制鞋产业已经形成完整且有竞争力的产业配套，在产业链各个环节都拥有优秀的企业。”福建省鞋业行业协会副会长李军认为。</w:t>
      </w:r>
    </w:p>
    <w:p w14:paraId="119ADE41">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在纺织重镇长乐，恒申集团在2024年完成了申马环己烷脱氢项目的投资和投产，该项目采用其自主研发的绿色循环工艺，总投资2亿元，产能10万吨/年。不仅如此，曾经的纺织企业恒申，一手抓传统产业转型升级，一手抓新兴产业拓展延伸，已实现化纤、化工和新材料一体化的产业布局。</w:t>
      </w:r>
    </w:p>
    <w:p w14:paraId="7B8F845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在“数字福建”先行实践地福州，中海创科技集团的实验室里，机器人各执黑白一方正在围棋对弈，数字孪生智能超级工厂系统有序运行，AI机械手在自动生产文创纪念品……从1992年成立之初致力为传统产业的工厂实现设备自动化，到今天发展成为工业互联网平台企业，该公司董事长、创始人陈米力始终坚信，因地制宜发展新质生产力是中海创能够站上智能制造新赛道的关键。</w:t>
      </w:r>
    </w:p>
    <w:p w14:paraId="5E3DD81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看传统产业，起跑新时代；看新兴产业，开辟新赛道。</w:t>
      </w:r>
    </w:p>
    <w:p w14:paraId="434ABFDB">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前段时间，《中国日报》（China Daily）发布了一个访谈视频，视频中美国汽车制造巨头福特公司CEO吉姆·法利在谈到中国的电动汽车时说：“先别管华为和TikTok了，想想中国汽车吧。”他还特别提到，中国掌握电动汽车电池加工的所有环节。</w:t>
      </w:r>
    </w:p>
    <w:p w14:paraId="0C39325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以电动汽车电池为代表的新能源产业，还有新材料、生物与新医药、智能化高端装备等战略性新兴产业，都是福建加快建设现代化经济体系的发展重点。近年来，福建持续推进产业基础高级化、产业链现代化，支持民营经济加快链条协作、集群发展，提升不锈钢新材料、高端装备、绿色石化、集成电路与软件信息等国内领先的先进制造业集群，建设新型显示、计算机和智能终端、生物医药等各具特色的区域产业集群。加快形成新质生产力，从产业层面落实到一个个鲜活的企业，厚实的产业积淀正为福建民营企业加快形成新质生产力赋能。</w:t>
      </w:r>
    </w:p>
    <w:p w14:paraId="6577C86B">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r>
        <w:rPr>
          <w:rFonts w:hint="default" w:ascii="仿宋_GB2312" w:hAnsi="仿宋_GB2312" w:eastAsia="仿宋_GB2312" w:cs="仿宋_GB2312"/>
          <w:color w:val="auto"/>
          <w:sz w:val="32"/>
          <w:szCs w:val="32"/>
          <w:u w:val="none" w:color="auto"/>
        </w:rPr>
        <w:t>凝聚前进之势、谋划前进之力、赋予前进之能。展望未来，我们从营商环境、市场和产业的“稳”里，读懂福建民营经济向“新”求“质”的底气；从新质生产力加快形成的“进”之能里，勾勒科技创新和产业创新深度融合的明天。</w:t>
      </w:r>
    </w:p>
    <w:p w14:paraId="10B2F6D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color w:val="auto"/>
          <w:sz w:val="32"/>
          <w:szCs w:val="32"/>
          <w:u w:val="none" w:color="auto"/>
        </w:rPr>
      </w:pPr>
    </w:p>
    <w:p w14:paraId="02240785">
      <w:pPr>
        <w:keepNext w:val="0"/>
        <w:keepLines w:val="0"/>
        <w:pageBreakBefore w:val="0"/>
        <w:widowControl w:val="0"/>
        <w:suppressAutoHyphens/>
        <w:kinsoku/>
        <w:wordWrap/>
        <w:overflowPunct/>
        <w:topLinePunct w:val="0"/>
        <w:autoSpaceDE/>
        <w:autoSpaceDN/>
        <w:bidi w:val="0"/>
        <w:adjustRightInd/>
        <w:snapToGrid/>
        <w:spacing w:line="580" w:lineRule="exact"/>
        <w:jc w:val="center"/>
        <w:textAlignment w:val="auto"/>
        <w:rPr>
          <w:rFonts w:hint="default" w:ascii="方正小标宋简体" w:hAnsi="方正小标宋简体" w:eastAsia="方正小标宋简体" w:cs="方正小标宋简体"/>
          <w:b w:val="0"/>
          <w:bCs w:val="0"/>
          <w:color w:val="auto"/>
          <w:sz w:val="44"/>
          <w:szCs w:val="44"/>
          <w:highlight w:val="none"/>
          <w:u w:val="none" w:color="auto"/>
          <w:lang w:val="en-US" w:eastAsia="zh-CN"/>
        </w:rPr>
      </w:pPr>
      <w:r>
        <w:rPr>
          <w:rFonts w:hint="default" w:ascii="方正小标宋简体" w:hAnsi="方正小标宋简体" w:eastAsia="方正小标宋简体" w:cs="方正小标宋简体"/>
          <w:b w:val="0"/>
          <w:bCs w:val="0"/>
          <w:color w:val="auto"/>
          <w:sz w:val="44"/>
          <w:szCs w:val="44"/>
          <w:highlight w:val="none"/>
          <w:u w:val="none" w:color="auto"/>
          <w:lang w:val="en-US" w:eastAsia="zh-CN"/>
        </w:rPr>
        <w:t>放眼“全局” 深谋“一域”</w:t>
      </w:r>
    </w:p>
    <w:p w14:paraId="42E340CF">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default" w:ascii="仿宋_GB2312" w:hAnsi="仿宋_GB2312" w:eastAsia="仿宋_GB2312" w:cs="仿宋_GB2312"/>
          <w:color w:val="auto"/>
          <w:sz w:val="32"/>
          <w:szCs w:val="32"/>
          <w:u w:val="none" w:color="auto"/>
        </w:rPr>
        <w:t>——解读福建新质生产力的“民营力量”（下）</w:t>
      </w:r>
    </w:p>
    <w:p w14:paraId="5AE325DD">
      <w:pPr>
        <w:keepNext w:val="0"/>
        <w:keepLines w:val="0"/>
        <w:pageBreakBefore w:val="0"/>
        <w:widowControl w:val="0"/>
        <w:suppressAutoHyphens/>
        <w:kinsoku/>
        <w:wordWrap/>
        <w:overflowPunct/>
        <w:topLinePunct w:val="0"/>
        <w:autoSpaceDE/>
        <w:autoSpaceDN/>
        <w:bidi w:val="0"/>
        <w:adjustRightInd/>
        <w:snapToGrid/>
        <w:spacing w:line="580" w:lineRule="exact"/>
        <w:ind w:firstLine="1928" w:firstLineChars="600"/>
        <w:textAlignment w:val="auto"/>
        <w:rPr>
          <w:rFonts w:hint="eastAsia" w:ascii="仿宋_GB2312" w:hAnsi="仿宋_GB2312" w:eastAsia="仿宋_GB2312" w:cs="仿宋_GB2312"/>
          <w:b/>
          <w:bCs/>
          <w:color w:val="auto"/>
          <w:sz w:val="32"/>
          <w:szCs w:val="32"/>
          <w:u w:val="none" w:color="auto"/>
          <w:lang w:val="en-US" w:eastAsia="zh-CN"/>
        </w:rPr>
      </w:pPr>
      <w:bookmarkStart w:id="0" w:name="_GoBack"/>
      <w:r>
        <w:rPr>
          <w:rFonts w:hint="eastAsia" w:ascii="仿宋_GB2312" w:hAnsi="仿宋_GB2312" w:eastAsia="仿宋_GB2312" w:cs="仿宋_GB2312"/>
          <w:b/>
          <w:bCs/>
          <w:color w:val="auto"/>
          <w:sz w:val="32"/>
          <w:szCs w:val="32"/>
          <w:u w:val="none" w:color="auto"/>
          <w:lang w:val="en-US" w:eastAsia="zh-CN"/>
        </w:rPr>
        <w:t>本报记者 林霞 方金春 林蔚</w:t>
      </w:r>
    </w:p>
    <w:bookmarkEnd w:id="0"/>
    <w:p w14:paraId="50FB6406">
      <w:pPr>
        <w:keepNext w:val="0"/>
        <w:keepLines w:val="0"/>
        <w:pageBreakBefore w:val="0"/>
        <w:widowControl w:val="0"/>
        <w:suppressAutoHyphens/>
        <w:kinsoku/>
        <w:wordWrap/>
        <w:overflowPunct/>
        <w:topLinePunct w:val="0"/>
        <w:autoSpaceDE/>
        <w:autoSpaceDN/>
        <w:bidi w:val="0"/>
        <w:adjustRightInd/>
        <w:snapToGrid/>
        <w:spacing w:line="580" w:lineRule="exact"/>
        <w:ind w:firstLine="1920" w:firstLineChars="600"/>
        <w:textAlignment w:val="auto"/>
        <w:rPr>
          <w:rFonts w:hint="eastAsia" w:ascii="仿宋_GB2312" w:hAnsi="仿宋_GB2312" w:eastAsia="仿宋_GB2312" w:cs="仿宋_GB2312"/>
          <w:color w:val="auto"/>
          <w:sz w:val="32"/>
          <w:szCs w:val="32"/>
          <w:u w:val="none" w:color="auto"/>
          <w:lang w:val="en-US" w:eastAsia="zh-CN"/>
        </w:rPr>
      </w:pPr>
    </w:p>
    <w:p w14:paraId="2637E6C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用全面、辩证、长远的眼光分析民营经济发展，“一域”与“全局”，有着普遍联系。</w:t>
      </w:r>
    </w:p>
    <w:p w14:paraId="18D56BEE">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习近平同志在福建工作时，就深感将一域的发展融入全局的重要性，“从全省、全国乃至世界的经济分工和经济互补的角度，摒弃‘小而全’的观念”。去年10月，习近平总书记在福建考察时指出，“要在推动区域协调发展和城乡融合发展上作出示范”。</w:t>
      </w:r>
    </w:p>
    <w:p w14:paraId="5F68DEE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区域一体化乃大势所趋。”福建省委、省政府认真贯彻落实党中央、国务院决策部署，率先谋划推进县域重点产业链发展，以县域为关键区域，推动全省重点产业链统筹布局、合理分工、错位发展，打造县域发展“福建样板”。</w:t>
      </w:r>
    </w:p>
    <w:p w14:paraId="7601E98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当前，以大力推进县域重点产业链高质量发展为契机，福建民营企业正蹄疾步稳加快发展新质生产力，冲关夺隘，一路向前。</w:t>
      </w:r>
    </w:p>
    <w:p w14:paraId="5467B6BB">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eastAsia" w:ascii="仿宋_GB2312" w:hAnsi="仿宋_GB2312" w:eastAsia="仿宋_GB2312" w:cs="仿宋_GB2312"/>
          <w:b/>
          <w:bCs/>
          <w:color w:val="auto"/>
          <w:sz w:val="32"/>
          <w:szCs w:val="32"/>
          <w:u w:val="none" w:color="auto"/>
          <w:lang w:val="en-US" w:eastAsia="zh-CN"/>
        </w:rPr>
      </w:pPr>
      <w:r>
        <w:rPr>
          <w:rFonts w:hint="eastAsia" w:ascii="仿宋_GB2312" w:hAnsi="仿宋_GB2312" w:eastAsia="仿宋_GB2312" w:cs="仿宋_GB2312"/>
          <w:b/>
          <w:bCs/>
          <w:color w:val="auto"/>
          <w:sz w:val="32"/>
          <w:szCs w:val="32"/>
          <w:u w:val="none" w:color="auto"/>
          <w:lang w:val="en-US" w:eastAsia="zh-CN"/>
        </w:rPr>
        <w:t>以“一域之光”为全局添彩</w:t>
      </w:r>
    </w:p>
    <w:p w14:paraId="2639012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一县之域，因砥砺奋进而走向全球。“晋江经验”正是以“一域之光”为全局添彩的生动实践。</w:t>
      </w:r>
    </w:p>
    <w:p w14:paraId="1676430A">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“福建省如果有若干个晋江，福建就不一样了。”今年是习近平同志提出“晋江经验”23周年。在中国民营经济发展历程中，在福建县域经济的版图中，晋江始终扮演着关键性、示范性的重要角色。</w:t>
      </w:r>
    </w:p>
    <w:p w14:paraId="62EAFEC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当全球的目光聚焦在这片“以全省1/200的土地，创造了全省1/16的GDP”的创业热土时，晋江又提出了一个更为大胆的战略——再造一个晋江！</w:t>
      </w:r>
    </w:p>
    <w:p w14:paraId="16C3704A">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何以“再造”？以何“再造”？</w:t>
      </w:r>
    </w:p>
    <w:p w14:paraId="62FED7F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当前，世界百年未有之大变局加速演进，国际政治经济形势复杂严峻，国内经济仍面临不少困难。在新旧动能转换的发展周期中，晋江民营企业纷纷探寻破题之法——</w:t>
      </w:r>
    </w:p>
    <w:p w14:paraId="04DC761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一条“福建造”的拉链，一次次遨游天际：2024年10月底，神舟十九号载人飞船发射成功时，宇航员宇航服上的拉链出自福建浔兴拉链科技股份有限公司。一双“晋江产”的跑鞋，证明了“传统”不等同于“低端”：冬雨淅沥，穿着361°研发的雨屏跑鞋的运动员奔跑在湿滑路面上，鞋内仍干燥清爽。“这双鞋借鉴了鸟类羽毛的疏水透气性能，既能防水又会‘呼吸’，推出后销量很快超过400万双。”361°集团总裁办总监林小凤说。</w:t>
      </w:r>
    </w:p>
    <w:p w14:paraId="252F3E6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“再造一个晋江”必须致力于打造新产业新赛道，集成电路成为主攻方向。</w:t>
      </w:r>
    </w:p>
    <w:p w14:paraId="3504000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自2016年起，晋江敏锐捕捉产业机遇，大力布局半导体产业，逐步形成覆盖集成电路设计—制造—封测—装备材料—配套—终端应用等全产业链的产业生态，胜科纳米、中探针、颖华、华清、三伍微等50多个集成电路产业链项目逐一落地。“距离市场配套更接近”“晋江芯片产业链完备”“来这里和上下游企业一起做出规模”……记者走访这些企业，得到的都是充满信心的回复。</w:t>
      </w:r>
    </w:p>
    <w:p w14:paraId="6961A5C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经济学“长板理论”认为，当“基本盘”发展到一定阶段，一个区域、一家企业想要继续发展壮大，必须找准发力点、扩大竞争优势。晋江正是借“新质”摆脱传统产业单一“帽子”，构建更安全的现代化产业格局。</w:t>
      </w:r>
    </w:p>
    <w:p w14:paraId="6E8D82E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跳出“一域”看“全局”。当前，福建全省正以“点”的突破带动“面”的跃升，推动传统产业、新兴产业、未来产业互为补充、互相促进——</w:t>
      </w:r>
    </w:p>
    <w:p w14:paraId="26256C5C">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在南安的一家石材生产车间，金刚线石材切割的先进设备线锯正在切割大型荒料石材，噪声小、石粉少；在莆田的一家鞋服企业，管理者向记者介绍从面料、设计、工艺到流程管理等方面的持续创新；在厦门的一家人工智能领域新锐企业，所研发的智能体已在厦门大学等高校应用，深入教育教学和管理全过程……从传统产业到新兴产业，民营企业都以创新为“钥”，打开“卡脖子”难题之“锁”。</w:t>
      </w:r>
    </w:p>
    <w:p w14:paraId="2F71B40E">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这股闯劲如星星之火，在县域汇聚起燎原之势，应对外部环境不确定性，塑造新竞争优势。根据《福建省县域重点产业链发展白皮书（2024）》统计分析，晋江、蕉城、长乐、福安等17个县域规上工业企业营业收入超1000亿元，以全省20%的县域数量，贡献了超过四成的GDP和超过六成的工业营业收入。</w:t>
      </w:r>
    </w:p>
    <w:p w14:paraId="591C2878">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eastAsia" w:ascii="仿宋_GB2312" w:hAnsi="仿宋_GB2312" w:eastAsia="仿宋_GB2312" w:cs="仿宋_GB2312"/>
          <w:b/>
          <w:bCs/>
          <w:color w:val="auto"/>
          <w:sz w:val="32"/>
          <w:szCs w:val="32"/>
          <w:u w:val="none" w:color="auto"/>
          <w:lang w:val="en-US" w:eastAsia="zh-CN"/>
        </w:rPr>
      </w:pPr>
      <w:r>
        <w:rPr>
          <w:rFonts w:hint="eastAsia" w:ascii="仿宋_GB2312" w:hAnsi="仿宋_GB2312" w:eastAsia="仿宋_GB2312" w:cs="仿宋_GB2312"/>
          <w:b/>
          <w:bCs/>
          <w:color w:val="auto"/>
          <w:sz w:val="32"/>
          <w:szCs w:val="32"/>
          <w:u w:val="none" w:color="auto"/>
          <w:lang w:val="en-US" w:eastAsia="zh-CN"/>
        </w:rPr>
        <w:t>因地制宜下好“一盘棋”</w:t>
      </w:r>
    </w:p>
    <w:p w14:paraId="73B107B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“要牢牢把握高质量发展这个首要任务，因地制宜发展新质生产力。”习近平总书记的话，蕴含着深刻的辩证思维，体现了新质生产力发展和区域国土空间的逻辑联系与内在规律。</w:t>
      </w:r>
    </w:p>
    <w:p w14:paraId="0E02B9C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八山一水一分田”的福建，土地面积仅占全国1.3%，自然资源十分有限，各地各区域的地理环境、要素禀赋、产业基础和人才资源均存在明显差异。统筹区域协调发展，因地制宜发展新质生产力，探索走出一条具有福建特色的高质量发展之路势在必行。</w:t>
      </w:r>
    </w:p>
    <w:p w14:paraId="5AEB92E5">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善谋者致远。福建于“全局”上谋势，精心下好“一盘棋”：梳理确定县域重点产业链164条，其中，确定1～2条重点产业链的县域63个，确定3～4条的县域20个；培育“金名片”：蕉城的锂电池、福安的不锈钢、福清的汽车玻璃、长乐的纺织化纤、德化的工艺陶瓷、光泽的圣农肉鸡、长汀的稀土深加工、涵江的雪津啤酒、仙游的古典工艺家具……</w:t>
      </w:r>
    </w:p>
    <w:p w14:paraId="1A14E59C">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福建虽然拥有丰富的海洋资源、森林资源等，但仍要正视区域间不平衡、不充分的发展“沟壑”。高质量发展需要强调“因地制宜”，对“发展什么”“怎么发展”等问题进行科学研判，找准着力点和主攻方向，才能有所作为，真正取得实效。</w:t>
      </w:r>
    </w:p>
    <w:p w14:paraId="778BB4CF">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身处建瓯市“竹海”时，满目青翠解答了记者脑海中“一根‘竹子’何以撬动千亿产业”的疑问。在龙竹科技，竹吸管项目将毛竹的出材率从传统20%～30%提高到60%以上；在福人集团森林工业有限公司，利用鲜毛竹加工后的竹粉生产竹刨花板，广泛应用于家电、家具、厨卫、建筑装饰、车船制造等行业。南平设法多维开发“新质”中蕴含的“新资源”，“一根竹”培育了包括几十个类别、上万种产品的完整产业链。</w:t>
      </w:r>
    </w:p>
    <w:p w14:paraId="380C33D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因地制宜发展新质生产力，就是要让各地区的特色变成特长，激发创新活力。我省民营企业在关键处落子，不少“冠军”企业逐步实现国内先进、全球领先：圣农集团白羽肉鸡突破欧美技术垄断成为亚洲第一的肉鸡产业链企业，全球每三块汽车玻璃就有一块来自福耀玻璃……不囿于一地，不限于一时，福建立足传统产业，厚植战略性新兴产业和未来产业发展势能，因地制宜发展新质生产力，壮大县域经济。</w:t>
      </w:r>
    </w:p>
    <w:p w14:paraId="47D7E804">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地理位置和城市的生产效率，在区域经济发展中扮演非常重要的角色。在推进民营经济发展中，福建结合各地产业、科技、要素发展实际因地制宜发展新质生产力，形成符合当地发展实际的产业图谱。数据显示，2024年1—11月，全省83个县域规上工业增加值增长6.7%，比全国平均高0.9个百分点。</w:t>
      </w:r>
    </w:p>
    <w:p w14:paraId="73AA9CE4">
      <w:pPr>
        <w:keepNext w:val="0"/>
        <w:keepLines w:val="0"/>
        <w:pageBreakBefore w:val="0"/>
        <w:widowControl w:val="0"/>
        <w:suppressAutoHyphens/>
        <w:kinsoku/>
        <w:wordWrap/>
        <w:overflowPunct/>
        <w:topLinePunct w:val="0"/>
        <w:autoSpaceDE/>
        <w:autoSpaceDN/>
        <w:bidi w:val="0"/>
        <w:adjustRightInd/>
        <w:snapToGrid/>
        <w:spacing w:line="580" w:lineRule="exact"/>
        <w:ind w:firstLine="643" w:firstLineChars="200"/>
        <w:jc w:val="center"/>
        <w:textAlignment w:val="auto"/>
        <w:rPr>
          <w:rFonts w:hint="eastAsia" w:ascii="仿宋_GB2312" w:hAnsi="仿宋_GB2312" w:eastAsia="仿宋_GB2312" w:cs="仿宋_GB2312"/>
          <w:b/>
          <w:bCs/>
          <w:color w:val="auto"/>
          <w:sz w:val="32"/>
          <w:szCs w:val="32"/>
          <w:u w:val="none" w:color="auto"/>
          <w:lang w:val="en-US" w:eastAsia="zh-CN"/>
        </w:rPr>
      </w:pPr>
      <w:r>
        <w:rPr>
          <w:rFonts w:hint="eastAsia" w:ascii="仿宋_GB2312" w:hAnsi="仿宋_GB2312" w:eastAsia="仿宋_GB2312" w:cs="仿宋_GB2312"/>
          <w:b/>
          <w:bCs/>
          <w:color w:val="auto"/>
          <w:sz w:val="32"/>
          <w:szCs w:val="32"/>
          <w:u w:val="none" w:color="auto"/>
          <w:lang w:val="en-US" w:eastAsia="zh-CN"/>
        </w:rPr>
        <w:t>“区域发展”与“相对平衡”</w:t>
      </w:r>
    </w:p>
    <w:p w14:paraId="455C8A0C">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新年伊始，宁德时代罗源新能源基地项目投资合同签约仪式举行，计划投资建设一个年产能40GWh的电池工厂。业内人士分析，项目落地后将带动电池材料供应商、设备制造商、回收企业等上下游企业进驻，形成完整的新能源产业链条。</w:t>
      </w:r>
    </w:p>
    <w:p w14:paraId="2C4F38E1">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过去一年依旧是中国电池产业在全球市场中大放异彩的一年：2024年1—11月全球市场动力电池装机量TOP10企业中，中国电池企业累计市占率同比提升2.5个百分点至65.5%，宁德时代则以全球36.8%的市占率继续领跑。</w:t>
      </w:r>
    </w:p>
    <w:p w14:paraId="20F14771">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从宁德到全省再到走向中国、海外“突围”，“不囿于一地”一直是宁德时代的追求。</w:t>
      </w:r>
    </w:p>
    <w:p w14:paraId="576BCAD2">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同样位于宁德的青拓集团，打造了全球最大的不锈钢生产基地，一个个“金娃娃”项目在宁德落地生根，千亿级、百亿级的产业链横跨山海、纵贯全域，用“高分答卷”回应“殷殷嘱托”。</w:t>
      </w:r>
    </w:p>
    <w:p w14:paraId="3A90B646">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另一个值得关注的县域是上杭县。在“2024年全国县域综合竞争力百强县（市）”榜单上，上杭县列86位。一度以金铜产业为支柱，如何由资源依赖型经济向创新驱动型经济转变？上杭以“揭榜招商”为抓手，以广龙对口合作为契机，推动当地金铜、新能源、新材料等工业支柱产业转型升级，年产200吨电子级三氟化氯项目、年产6000吨氢氧化锂项目等一批大项目落地。</w:t>
      </w:r>
    </w:p>
    <w:p w14:paraId="6B71E740">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位于上杭白砂新材料创业谷的福建龙净储能科技有限公司，项目从开工到建成仅用10个月，去年下半年全面投产。龙净储能副总经理吕强说，公司目前已进入满产状态，今年目标产值18亿元。</w:t>
      </w:r>
    </w:p>
    <w:p w14:paraId="030E81AD">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放眼福建，“一域”与“全局”中产业集群优势互补、协作共赢的案例还有许多——</w:t>
      </w:r>
    </w:p>
    <w:p w14:paraId="240D59FC">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泉州南安，水暖卫浴产业全国最主要的生产、销售、研发集聚地。这里拥有超92%的建材品类，当地构建设计师供应链平台、跨境外贸服务平台、建材集采服务平台、展销中心“三平台一中心”，一张奢石餐桌采购成本约2万元，采用南安石材供应链后，平均成本降至1万元以下。扎根南安的链主企业九牧集团，成为中国第一、世界前三的全球数智卫浴领跑者，智能马桶全球销量第一，打造了全球首个“绿色黑灯工厂”。</w:t>
      </w:r>
    </w:p>
    <w:p w14:paraId="0995E498">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漳州长泰，以宏发电声作为龙头企业，以新型电子元器件为主导产业带动相关上下游100多家企业形成特色产业集群。“之所以能在行业内引领全球，最关键因素之一就是拥有深度集成的自主配套产业链。”宏发电声副总经理肖明星说。</w:t>
      </w:r>
    </w:p>
    <w:p w14:paraId="265B48F3">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w:t>
      </w:r>
    </w:p>
    <w:p w14:paraId="5B25CA69">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在区域经济发展中，不平衡是普遍。如何以发展促进相对平衡？高质量发展是关键。在追求相对平衡的过程中，无论是领先地区还是后进地区，福建以新发展理念为指导，从县域、全省乃至全球的角度构建起区域经济增长极。在“全局平衡”与“一域带动”的辩证中，推动实现内部各地区经济要素的良性循环。</w:t>
      </w:r>
    </w:p>
    <w:p w14:paraId="3D717A8B">
      <w:pPr>
        <w:keepNext w:val="0"/>
        <w:keepLines w:val="0"/>
        <w:pageBreakBefore w:val="0"/>
        <w:widowControl w:val="0"/>
        <w:suppressAutoHyphens/>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发挥自我优势、奠定特色胜势，千帆竞发、百舸争流的生动局面蓬勃形成。当前，福建民营经济占比高的电子信息、机械装备、纺织鞋服等支柱产业规模超万亿元，食品、工艺美术产业规模居全国前列。千亿产业集群达20个，己内酰胺、不锈钢、汽车玻璃、服装、运动鞋等产量居全国第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00"/>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方正小标宋简体">
    <w:altName w:val="黑体"/>
    <w:panose1 w:val="02000000000000000000"/>
    <w:charset w:val="00"/>
    <w:family w:val="auto"/>
    <w:pitch w:val="default"/>
    <w:sig w:usb0="00000000" w:usb1="00000000" w:usb2="00000012" w:usb3="00000000" w:csb0="00040001" w:csb1="00000000"/>
  </w:font>
  <w:font w:name="汉仪书宋二KW">
    <w:altName w:val="宋体"/>
    <w:panose1 w:val="00020600040101010101"/>
    <w:charset w:val="86"/>
    <w:family w:val="auto"/>
    <w:pitch w:val="default"/>
    <w:sig w:usb0="00000000" w:usb1="00000000" w:usb2="00000016"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FD78F53"/>
    <w:rsid w:val="7344336D"/>
    <w:rsid w:val="76FB010A"/>
    <w:rsid w:val="7F4DB5A9"/>
    <w:rsid w:val="AFD78F53"/>
    <w:rsid w:val="DED58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11400</Words>
  <Characters>11686</Characters>
  <Lines>0</Lines>
  <Paragraphs>0</Paragraphs>
  <TotalTime>16</TotalTime>
  <ScaleCrop>false</ScaleCrop>
  <LinksUpToDate>false</LinksUpToDate>
  <CharactersWithSpaces>11698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2026-04-28T14:56:00Z</dcterms:created>
  <dc:creator>比比多味豆</dc:creator>
  <cp:lastModifiedBy>方不圆</cp:lastModifiedBy>
  <cp:lastPrinted>2026-04-30T07:50:57Z</cp:lastPrinted>
  <dcterms:modified xsi:type="dcterms:W3CDTF">2026-04-30T07:51:22Z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68ED0961551A4EA6A2973743072571B2_13</vt:lpwstr>
  </property>
  <property fmtid="{D5CDD505-2E9C-101B-9397-08002B2CF9AE}" pid="4" name="KSOTemplateDocerSaveRecord">
    <vt:lpwstr>eyJoZGlkIjoiMmMzNWRkZmEwZjZhOWM5NmExNDBkYzA4NzdiOGJhMWYiLCJ1c2VySWQiOiI1OTQwNDQxMzQifQ==</vt:lpwstr>
  </property>
</Properties>
</file>