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2"/>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5" w:hRule="exact"/>
        </w:trPr>
        <w:tc>
          <w:tcPr>
            <w:tcW w:w="992"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4"/>
            <w:tcBorders>
              <w:tl2br w:val="nil"/>
              <w:tr2bl w:val="nil"/>
            </w:tcBorders>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解读福建新质生产力的“民营力量”</w:t>
            </w:r>
          </w:p>
        </w:tc>
        <w:tc>
          <w:tcPr>
            <w:tcW w:w="1819" w:type="dxa"/>
            <w:gridSpan w:val="2"/>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3"/>
            <w:tcBorders>
              <w:tl2br w:val="nil"/>
              <w:tr2bl w:val="nil"/>
            </w:tcBorders>
            <w:vAlign w:val="center"/>
          </w:tcPr>
          <w:p>
            <w:pPr>
              <w:spacing w:line="240" w:lineRule="exact"/>
              <w:jc w:val="center"/>
              <w:rPr>
                <w:rFonts w:hint="eastAsia" w:ascii="仿宋" w:hAnsi="仿宋" w:eastAsia="仿宋" w:cs="仿宋"/>
                <w:color w:val="000000"/>
                <w:sz w:val="24"/>
                <w:szCs w:val="18"/>
              </w:rPr>
            </w:pPr>
            <w:r>
              <w:rPr>
                <w:rFonts w:hint="eastAsia" w:ascii="仿宋" w:hAnsi="仿宋" w:eastAsia="仿宋" w:cs="仿宋"/>
                <w:color w:val="000000"/>
                <w:sz w:val="24"/>
                <w:szCs w:val="18"/>
              </w:rPr>
              <w:t>重大主题报道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exact"/>
        </w:trPr>
        <w:tc>
          <w:tcPr>
            <w:tcW w:w="992" w:type="dxa"/>
            <w:vMerge w:val="restart"/>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4"/>
            <w:vMerge w:val="restart"/>
            <w:tcBorders>
              <w:tl2br w:val="nil"/>
              <w:tr2bl w:val="nil"/>
            </w:tcBorders>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3688字、3881字、3566字</w:t>
            </w:r>
          </w:p>
        </w:tc>
        <w:tc>
          <w:tcPr>
            <w:tcW w:w="1819" w:type="dxa"/>
            <w:gridSpan w:val="2"/>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3"/>
            <w:tcBorders>
              <w:tl2br w:val="nil"/>
              <w:tr2bl w:val="nil"/>
            </w:tcBorders>
            <w:vAlign w:val="center"/>
          </w:tcPr>
          <w:p>
            <w:pPr>
              <w:spacing w:line="240" w:lineRule="exact"/>
              <w:jc w:val="center"/>
              <w:rPr>
                <w:rFonts w:hint="eastAsia" w:ascii="仿宋" w:hAnsi="仿宋" w:eastAsia="仿宋" w:cs="仿宋"/>
                <w:color w:val="000000"/>
                <w:sz w:val="24"/>
                <w:szCs w:val="18"/>
              </w:rPr>
            </w:pPr>
            <w:r>
              <w:rPr>
                <w:rFonts w:hint="eastAsia" w:ascii="仿宋" w:hAnsi="仿宋" w:eastAsia="仿宋" w:cs="仿宋"/>
                <w:color w:val="000000"/>
                <w:sz w:val="24"/>
                <w:szCs w:val="18"/>
              </w:rPr>
              <w:t>报纸系列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trPr>
        <w:tc>
          <w:tcPr>
            <w:tcW w:w="992" w:type="dxa"/>
            <w:vMerge w:val="continue"/>
            <w:tcBorders>
              <w:tl2br w:val="nil"/>
              <w:tr2bl w:val="nil"/>
            </w:tcBorders>
            <w:vAlign w:val="center"/>
          </w:tcPr>
          <w:p>
            <w:pPr>
              <w:spacing w:line="320" w:lineRule="exact"/>
              <w:jc w:val="center"/>
              <w:rPr>
                <w:rFonts w:hint="eastAsia" w:ascii="华文中宋" w:hAnsi="华文中宋" w:eastAsia="华文中宋"/>
                <w:color w:val="000000"/>
                <w:sz w:val="28"/>
              </w:rPr>
            </w:pPr>
          </w:p>
        </w:tc>
        <w:tc>
          <w:tcPr>
            <w:tcW w:w="3728" w:type="dxa"/>
            <w:gridSpan w:val="4"/>
            <w:vMerge w:val="continue"/>
            <w:tcBorders>
              <w:tl2br w:val="nil"/>
              <w:tr2bl w:val="nil"/>
            </w:tcBorders>
            <w:vAlign w:val="center"/>
          </w:tcPr>
          <w:p>
            <w:pPr>
              <w:spacing w:line="380" w:lineRule="exact"/>
              <w:ind w:firstLine="560"/>
              <w:jc w:val="center"/>
              <w:rPr>
                <w:rFonts w:hint="eastAsia" w:ascii="仿宋" w:hAnsi="仿宋" w:eastAsia="仿宋" w:cs="仿宋"/>
                <w:color w:val="000000"/>
                <w:sz w:val="24"/>
                <w:szCs w:val="24"/>
              </w:rPr>
            </w:pPr>
          </w:p>
        </w:tc>
        <w:tc>
          <w:tcPr>
            <w:tcW w:w="1819" w:type="dxa"/>
            <w:gridSpan w:val="2"/>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3"/>
            <w:tcBorders>
              <w:tl2br w:val="nil"/>
              <w:tr2bl w:val="nil"/>
            </w:tcBorders>
            <w:vAlign w:val="center"/>
          </w:tcPr>
          <w:p>
            <w:pPr>
              <w:spacing w:line="240" w:lineRule="exact"/>
              <w:jc w:val="center"/>
              <w:rPr>
                <w:rFonts w:hint="eastAsia" w:ascii="仿宋" w:hAnsi="仿宋" w:eastAsia="仿宋" w:cs="仿宋"/>
                <w:color w:val="000000"/>
                <w:sz w:val="24"/>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4" w:hRule="atLeast"/>
        </w:trPr>
        <w:tc>
          <w:tcPr>
            <w:tcW w:w="992" w:type="dxa"/>
            <w:tcBorders>
              <w:tl2br w:val="nil"/>
              <w:tr2bl w:val="nil"/>
            </w:tcBorders>
            <w:vAlign w:val="center"/>
          </w:tcPr>
          <w:p>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4"/>
            <w:tcBorders>
              <w:tl2br w:val="nil"/>
              <w:tr2bl w:val="nil"/>
            </w:tcBorders>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方金春、林蔚、林霞</w:t>
            </w:r>
          </w:p>
        </w:tc>
        <w:tc>
          <w:tcPr>
            <w:tcW w:w="1819" w:type="dxa"/>
            <w:gridSpan w:val="2"/>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3"/>
            <w:tcBorders>
              <w:tl2br w:val="nil"/>
              <w:tr2bl w:val="nil"/>
            </w:tcBorders>
            <w:vAlign w:val="center"/>
          </w:tcPr>
          <w:p>
            <w:pPr>
              <w:spacing w:line="240" w:lineRule="exact"/>
              <w:jc w:val="center"/>
              <w:rPr>
                <w:rFonts w:hint="eastAsia" w:ascii="仿宋" w:hAnsi="仿宋" w:eastAsia="仿宋" w:cs="仿宋"/>
                <w:color w:val="000000"/>
                <w:sz w:val="24"/>
                <w:szCs w:val="18"/>
              </w:rPr>
            </w:pPr>
            <w:r>
              <w:rPr>
                <w:rFonts w:hint="eastAsia" w:ascii="仿宋" w:hAnsi="仿宋" w:eastAsia="仿宋" w:cs="仿宋"/>
                <w:color w:val="000000"/>
                <w:sz w:val="24"/>
                <w:szCs w:val="18"/>
              </w:rPr>
              <w:t>黄筱菁、陈亮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4" w:hRule="atLeast"/>
        </w:trPr>
        <w:tc>
          <w:tcPr>
            <w:tcW w:w="992"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4"/>
            <w:tcBorders>
              <w:tl2br w:val="nil"/>
              <w:tr2bl w:val="nil"/>
            </w:tcBorders>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pacing w:val="-6"/>
                <w:sz w:val="24"/>
                <w:szCs w:val="24"/>
              </w:rPr>
              <w:t>福建日报</w:t>
            </w:r>
          </w:p>
        </w:tc>
        <w:tc>
          <w:tcPr>
            <w:tcW w:w="1819" w:type="dxa"/>
            <w:gridSpan w:val="2"/>
            <w:tcBorders>
              <w:tl2br w:val="nil"/>
              <w:tr2bl w:val="nil"/>
            </w:tcBorders>
            <w:vAlign w:val="center"/>
          </w:tcPr>
          <w:p>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pPr>
              <w:spacing w:line="260" w:lineRule="exact"/>
              <w:rPr>
                <w:rFonts w:hint="eastAsia"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3"/>
            <w:tcBorders>
              <w:tl2br w:val="nil"/>
              <w:tr2bl w:val="nil"/>
            </w:tcBorders>
            <w:vAlign w:val="center"/>
          </w:tcPr>
          <w:p>
            <w:pPr>
              <w:spacing w:line="240" w:lineRule="exact"/>
              <w:jc w:val="center"/>
              <w:rPr>
                <w:rFonts w:hint="eastAsia" w:ascii="仿宋" w:hAnsi="仿宋" w:eastAsia="仿宋" w:cs="仿宋"/>
                <w:color w:val="000000"/>
                <w:sz w:val="24"/>
                <w:szCs w:val="18"/>
              </w:rPr>
            </w:pPr>
            <w:r>
              <w:rPr>
                <w:rFonts w:hint="eastAsia" w:ascii="仿宋" w:hAnsi="仿宋" w:eastAsia="仿宋" w:cs="仿宋"/>
                <w:color w:val="000000"/>
                <w:sz w:val="24"/>
                <w:szCs w:val="18"/>
              </w:rPr>
              <w:t>福建日报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2" w:hRule="exact"/>
        </w:trPr>
        <w:tc>
          <w:tcPr>
            <w:tcW w:w="1504" w:type="dxa"/>
            <w:gridSpan w:val="2"/>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7"/>
                <w:sz w:val="24"/>
                <w:szCs w:val="21"/>
              </w:rPr>
              <w:t>（</w:t>
            </w:r>
            <w:r>
              <w:rPr>
                <w:rFonts w:hint="eastAsia" w:ascii="华文中宋" w:hAnsi="华文中宋" w:eastAsia="华文中宋"/>
                <w:color w:val="000000"/>
                <w:spacing w:val="-17"/>
                <w:sz w:val="22"/>
                <w:szCs w:val="21"/>
              </w:rPr>
              <w:t>名称和版次）</w:t>
            </w:r>
          </w:p>
        </w:tc>
        <w:tc>
          <w:tcPr>
            <w:tcW w:w="3216" w:type="dxa"/>
            <w:gridSpan w:val="3"/>
            <w:tcBorders>
              <w:tl2br w:val="nil"/>
              <w:tr2bl w:val="nil"/>
            </w:tcBorders>
            <w:vAlign w:val="center"/>
          </w:tcPr>
          <w:p>
            <w:pPr>
              <w:spacing w:line="260" w:lineRule="exact"/>
              <w:jc w:val="center"/>
              <w:rPr>
                <w:rFonts w:hint="eastAsia" w:ascii="方正仿宋_GB2312" w:hAnsi="仿宋"/>
                <w:color w:val="000000"/>
                <w:szCs w:val="21"/>
              </w:rPr>
            </w:pPr>
            <w:r>
              <w:rPr>
                <w:rFonts w:hint="eastAsia" w:ascii="仿宋" w:hAnsi="仿宋" w:eastAsia="仿宋" w:cs="仿宋"/>
                <w:color w:val="000000"/>
                <w:sz w:val="24"/>
                <w:szCs w:val="18"/>
              </w:rPr>
              <w:t>福建日报一版、二版</w:t>
            </w:r>
          </w:p>
        </w:tc>
        <w:tc>
          <w:tcPr>
            <w:tcW w:w="872"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发布日期</w:t>
            </w:r>
          </w:p>
        </w:tc>
        <w:tc>
          <w:tcPr>
            <w:tcW w:w="4221" w:type="dxa"/>
            <w:gridSpan w:val="4"/>
            <w:tcBorders>
              <w:tl2br w:val="nil"/>
              <w:tr2bl w:val="nil"/>
            </w:tcBorders>
            <w:vAlign w:val="center"/>
          </w:tcPr>
          <w:p>
            <w:pPr>
              <w:spacing w:line="260" w:lineRule="exact"/>
              <w:jc w:val="center"/>
              <w:rPr>
                <w:rFonts w:hint="eastAsia" w:ascii="方正仿宋_GB2312" w:hAnsi="仿宋"/>
                <w:color w:val="000000"/>
                <w:szCs w:val="21"/>
              </w:rPr>
            </w:pPr>
            <w:r>
              <w:rPr>
                <w:rFonts w:hint="eastAsia" w:ascii="仿宋" w:hAnsi="仿宋" w:eastAsia="仿宋" w:cs="仿宋"/>
                <w:color w:val="000000"/>
                <w:sz w:val="24"/>
                <w:szCs w:val="18"/>
              </w:rPr>
              <w:t>2025年2月5日至2025年2月7日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0" w:hRule="atLeast"/>
        </w:trPr>
        <w:tc>
          <w:tcPr>
            <w:tcW w:w="1504" w:type="dxa"/>
            <w:gridSpan w:val="2"/>
            <w:tcBorders>
              <w:tl2br w:val="nil"/>
              <w:tr2bl w:val="nil"/>
            </w:tcBorders>
            <w:vAlign w:val="center"/>
          </w:tcPr>
          <w:p>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4"/>
                <w:szCs w:val="21"/>
              </w:rPr>
              <w:t>新媒体</w:t>
            </w:r>
            <w:r>
              <w:rPr>
                <w:rFonts w:ascii="华文中宋" w:hAnsi="华文中宋" w:eastAsia="华文中宋"/>
                <w:color w:val="000000"/>
                <w:sz w:val="24"/>
                <w:szCs w:val="21"/>
              </w:rPr>
              <w:t>作品</w:t>
            </w:r>
          </w:p>
          <w:p>
            <w:pPr>
              <w:spacing w:line="320" w:lineRule="exact"/>
              <w:jc w:val="center"/>
              <w:rPr>
                <w:rFonts w:hint="eastAsia" w:ascii="方正仿宋_GB2312" w:hAnsi="仿宋" w:eastAsia="华文中宋"/>
                <w:color w:val="000000"/>
                <w:szCs w:val="21"/>
              </w:rPr>
            </w:pPr>
            <w:r>
              <w:rPr>
                <w:rFonts w:hint="eastAsia" w:ascii="华文中宋" w:hAnsi="华文中宋" w:eastAsia="华文中宋"/>
                <w:color w:val="000000"/>
                <w:sz w:val="24"/>
                <w:szCs w:val="21"/>
              </w:rPr>
              <w:t>链接</w:t>
            </w:r>
          </w:p>
        </w:tc>
        <w:tc>
          <w:tcPr>
            <w:tcW w:w="5035" w:type="dxa"/>
            <w:gridSpan w:val="5"/>
            <w:tcBorders>
              <w:tl2br w:val="nil"/>
              <w:tr2bl w:val="nil"/>
            </w:tcBorders>
            <w:vAlign w:val="center"/>
          </w:tcPr>
          <w:p>
            <w:pPr>
              <w:spacing w:line="260" w:lineRule="exact"/>
              <w:rPr>
                <w:rFonts w:hint="eastAsia" w:ascii="华文中宋" w:hAnsi="华文中宋" w:eastAsia="华文中宋"/>
                <w:color w:val="000000"/>
                <w:sz w:val="28"/>
              </w:rPr>
            </w:pPr>
          </w:p>
        </w:tc>
        <w:tc>
          <w:tcPr>
            <w:tcW w:w="1742" w:type="dxa"/>
            <w:gridSpan w:val="2"/>
            <w:tcBorders>
              <w:tl2br w:val="nil"/>
              <w:tr2bl w:val="nil"/>
            </w:tcBorders>
            <w:vAlign w:val="center"/>
          </w:tcPr>
          <w:p>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pPr>
              <w:spacing w:line="260" w:lineRule="exact"/>
              <w:jc w:val="center"/>
              <w:rPr>
                <w:rFonts w:hint="eastAsia" w:ascii="华文中宋" w:hAnsi="华文中宋" w:eastAsia="华文中宋"/>
                <w:color w:val="000000"/>
                <w:sz w:val="28"/>
              </w:rPr>
            </w:pPr>
            <w:r>
              <w:rPr>
                <w:rFonts w:hint="eastAsia" w:ascii="仿宋" w:hAnsi="仿宋" w:eastAsia="仿宋" w:cs="仿宋"/>
                <w:color w:val="000000"/>
                <w:sz w:val="24"/>
                <w:szCs w:val="18"/>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15" w:hRule="atLeast"/>
        </w:trPr>
        <w:tc>
          <w:tcPr>
            <w:tcW w:w="992"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品</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简</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介</w:t>
            </w:r>
          </w:p>
        </w:tc>
        <w:tc>
          <w:tcPr>
            <w:tcW w:w="8821" w:type="dxa"/>
            <w:gridSpan w:val="9"/>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“解读福建新质生产力的‘民营力量’”系列报道，是一组围绕福建因地制宜发展新质生产力、全面实施新时代民营经济强省战略而精心组织采写的经济类调研文章。</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仿宋" w:hAnsi="仿宋" w:eastAsia="仿宋" w:cs="仿宋"/>
                <w:sz w:val="24"/>
                <w:szCs w:val="24"/>
              </w:rPr>
            </w:pPr>
            <w:r>
              <w:rPr>
                <w:rFonts w:hint="eastAsia" w:ascii="仿宋" w:hAnsi="仿宋" w:eastAsia="仿宋"/>
                <w:sz w:val="24"/>
                <w:szCs w:val="24"/>
              </w:rPr>
              <w:t>民营经济是推进中国式现代化的生力军，也是我国全面建成社会主义现代化强国、实现第二个百年奋斗目标不可替代的重要力量。习近平同志在福建工作期间亲自调研总结的“晋江经验”为民营经济发展提供了根本遵循。</w:t>
            </w:r>
            <w:r>
              <w:rPr>
                <w:rFonts w:hint="eastAsia" w:ascii="仿宋" w:hAnsi="仿宋" w:eastAsia="仿宋" w:cs="仿宋"/>
                <w:sz w:val="24"/>
                <w:szCs w:val="24"/>
              </w:rPr>
              <w:t>福建日报持续关注“新时代民营经济强省战略”这一重大主题，2025年年初，围绕如何把握好“立”与“破”、“稳”与“进”、“全局”与“一域”的辩证关系，如何把握好“新质生产力”要义，展现福建蓬勃发展的“民营力量”等问题，组织力量蹲点调查，深入“晋江经验”的发源地泉州、改革开放的前沿阵地厦门、省会城市福州等地，与20多位民营企业家共话发展，讲好福建民营经济发展新质生产力的精彩故事。</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仿宋" w:hAnsi="仿宋" w:eastAsia="仿宋" w:cs="仿宋"/>
                <w:color w:val="000000"/>
                <w:sz w:val="24"/>
                <w:szCs w:val="24"/>
              </w:rPr>
            </w:pPr>
            <w:r>
              <w:rPr>
                <w:rFonts w:hint="eastAsia" w:ascii="仿宋" w:hAnsi="仿宋" w:eastAsia="仿宋" w:cs="仿宋"/>
                <w:sz w:val="24"/>
                <w:szCs w:val="24"/>
              </w:rPr>
              <w:t>2月5日至7日，这组报道在福建“新春第一会”——</w:t>
            </w:r>
            <w:bookmarkStart w:id="0" w:name="OLE_LINK1"/>
            <w:r>
              <w:rPr>
                <w:rFonts w:hint="eastAsia" w:ascii="仿宋" w:hAnsi="仿宋" w:eastAsia="仿宋" w:cs="仿宋"/>
                <w:sz w:val="24"/>
                <w:szCs w:val="24"/>
              </w:rPr>
              <w:t>民营经济代表人士座谈会</w:t>
            </w:r>
            <w:bookmarkEnd w:id="0"/>
            <w:r>
              <w:rPr>
                <w:rFonts w:hint="eastAsia" w:ascii="仿宋" w:hAnsi="仿宋" w:eastAsia="仿宋" w:cs="仿宋"/>
                <w:sz w:val="24"/>
                <w:szCs w:val="24"/>
              </w:rPr>
              <w:t>会前刊出，产生了积极反响</w:t>
            </w:r>
            <w:r>
              <w:rPr>
                <w:rFonts w:hint="eastAsia" w:ascii="仿宋" w:hAnsi="仿宋" w:eastAsia="仿宋" w:cs="仿宋"/>
                <w:color w:val="000000"/>
                <w:sz w:val="24"/>
                <w:szCs w:val="24"/>
              </w:rPr>
              <w:t>。2月17日，习近平总书记在出席民营企业座谈会时强调，民营经济发展前景广阔、大有可为。</w:t>
            </w:r>
            <w:r>
              <w:rPr>
                <w:rFonts w:hint="eastAsia" w:ascii="仿宋" w:hAnsi="仿宋" w:eastAsia="仿宋" w:cs="仿宋"/>
                <w:sz w:val="24"/>
                <w:szCs w:val="24"/>
              </w:rPr>
              <w:t>“新时代民营经济强省战略”</w:t>
            </w:r>
            <w:r>
              <w:rPr>
                <w:rFonts w:hint="eastAsia" w:ascii="仿宋" w:hAnsi="仿宋" w:eastAsia="仿宋" w:cs="仿宋"/>
                <w:color w:val="000000"/>
                <w:sz w:val="24"/>
                <w:szCs w:val="24"/>
              </w:rPr>
              <w:t>在福建民营企业家中更加深入人心、鼓舞人心。</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仿宋" w:hAnsi="仿宋" w:eastAsia="仿宋"/>
                <w:color w:val="000000"/>
                <w:w w:val="95"/>
                <w:sz w:val="21"/>
                <w:szCs w:val="21"/>
              </w:rPr>
            </w:pPr>
            <w:r>
              <w:rPr>
                <w:rFonts w:hint="eastAsia" w:ascii="仿宋" w:hAnsi="仿宋" w:eastAsia="仿宋" w:cs="仿宋"/>
                <w:sz w:val="24"/>
                <w:szCs w:val="24"/>
              </w:rPr>
              <w:t>这组报道准确把握时、度、效，紧扣习近平总书记关于民营经济发展的重要论述，持续为</w:t>
            </w:r>
            <w:r>
              <w:rPr>
                <w:rFonts w:hint="eastAsia" w:ascii="仿宋" w:hAnsi="仿宋" w:eastAsia="仿宋" w:cs="仿宋"/>
                <w:color w:val="000000"/>
                <w:sz w:val="24"/>
                <w:szCs w:val="24"/>
              </w:rPr>
              <w:t>传承发展</w:t>
            </w:r>
            <w:r>
              <w:rPr>
                <w:rFonts w:hint="eastAsia" w:ascii="仿宋" w:hAnsi="仿宋" w:eastAsia="仿宋" w:cs="仿宋"/>
                <w:sz w:val="24"/>
                <w:szCs w:val="24"/>
              </w:rPr>
              <w:t>“晋江经验”、推动民营经济高质量发展鼓与呼，是唱响中国经济“光明论”的精心力作。今</w:t>
            </w:r>
            <w:r>
              <w:rPr>
                <w:rFonts w:hint="eastAsia" w:ascii="仿宋" w:hAnsi="仿宋" w:eastAsia="仿宋" w:cs="仿宋"/>
                <w:color w:val="000000"/>
                <w:sz w:val="24"/>
                <w:szCs w:val="24"/>
              </w:rPr>
              <w:t>年3月，“创新发展‘晋江经验’”被写入国家“十五五”规划纲要，更凸显出这组报道具有站位全局发展、关注区域经济的重大典型价值，也为民营经济如何在“十五五”期间因地制宜发展新质生产力提供了有益借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exact"/>
        </w:trPr>
        <w:tc>
          <w:tcPr>
            <w:tcW w:w="992" w:type="dxa"/>
            <w:vMerge w:val="restart"/>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1400"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21" w:type="dxa"/>
            <w:gridSpan w:val="7"/>
            <w:tcBorders>
              <w:tl2br w:val="nil"/>
              <w:tr2bl w:val="nil"/>
            </w:tcBorders>
            <w:vAlign w:val="center"/>
          </w:tcPr>
          <w:p>
            <w:pPr>
              <w:spacing w:line="280" w:lineRule="exact"/>
              <w:rPr>
                <w:rFonts w:hint="eastAsia" w:ascii="仿宋" w:hAnsi="仿宋" w:eastAsia="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exact"/>
        </w:trPr>
        <w:tc>
          <w:tcPr>
            <w:tcW w:w="992" w:type="dxa"/>
            <w:vMerge w:val="continue"/>
            <w:tcBorders>
              <w:tl2br w:val="nil"/>
              <w:tr2bl w:val="nil"/>
            </w:tcBorders>
            <w:vAlign w:val="center"/>
          </w:tcPr>
          <w:p>
            <w:pPr>
              <w:spacing w:line="320" w:lineRule="exact"/>
              <w:jc w:val="center"/>
              <w:rPr>
                <w:rFonts w:hint="eastAsia" w:ascii="华文中宋" w:hAnsi="华文中宋" w:eastAsia="华文中宋"/>
                <w:color w:val="000000"/>
                <w:sz w:val="28"/>
              </w:rPr>
            </w:pPr>
          </w:p>
        </w:tc>
        <w:tc>
          <w:tcPr>
            <w:tcW w:w="1400" w:type="dxa"/>
            <w:gridSpan w:val="2"/>
            <w:tcBorders>
              <w:tl2br w:val="nil"/>
              <w:tr2bl w:val="nil"/>
            </w:tcBorders>
            <w:vAlign w:val="center"/>
          </w:tcPr>
          <w:p>
            <w:pPr>
              <w:spacing w:line="240" w:lineRule="exact"/>
              <w:jc w:val="center"/>
              <w:rPr>
                <w:rFonts w:hint="eastAsia" w:ascii="楷体" w:hAnsi="楷体" w:eastAsia="楷体" w:cs="楷体"/>
                <w:b/>
                <w:bCs/>
                <w:color w:val="000000"/>
                <w:sz w:val="21"/>
                <w:szCs w:val="21"/>
              </w:rPr>
            </w:pPr>
            <w:r>
              <w:rPr>
                <w:rFonts w:hint="eastAsia" w:ascii="楷体" w:hAnsi="楷体" w:eastAsia="楷体" w:cs="楷体"/>
                <w:b/>
                <w:bCs/>
                <w:color w:val="000000"/>
                <w:sz w:val="21"/>
                <w:szCs w:val="21"/>
              </w:rPr>
              <w:t>该平台</w:t>
            </w:r>
          </w:p>
          <w:p>
            <w:pPr>
              <w:spacing w:line="240" w:lineRule="exact"/>
              <w:jc w:val="center"/>
              <w:rPr>
                <w:rFonts w:hint="eastAsia" w:ascii="仿宋" w:hAnsi="仿宋" w:eastAsia="楷体"/>
                <w:color w:val="000000"/>
                <w:sz w:val="21"/>
                <w:szCs w:val="21"/>
              </w:rPr>
            </w:pPr>
            <w:r>
              <w:rPr>
                <w:rFonts w:hint="eastAsia" w:ascii="楷体" w:hAnsi="楷体" w:eastAsia="楷体" w:cs="楷体"/>
                <w:b/>
                <w:bCs/>
                <w:color w:val="000000"/>
                <w:sz w:val="21"/>
                <w:szCs w:val="21"/>
              </w:rPr>
              <w:t>传播量</w:t>
            </w:r>
          </w:p>
        </w:tc>
        <w:tc>
          <w:tcPr>
            <w:tcW w:w="1323" w:type="dxa"/>
            <w:tcBorders>
              <w:tl2br w:val="nil"/>
              <w:tr2bl w:val="nil"/>
            </w:tcBorders>
            <w:vAlign w:val="center"/>
          </w:tcPr>
          <w:p>
            <w:pPr>
              <w:spacing w:line="240" w:lineRule="exact"/>
              <w:rPr>
                <w:rFonts w:hint="eastAsia" w:ascii="仿宋" w:hAnsi="仿宋" w:eastAsia="仿宋"/>
                <w:color w:val="000000"/>
                <w:sz w:val="21"/>
                <w:szCs w:val="21"/>
              </w:rPr>
            </w:pPr>
          </w:p>
        </w:tc>
        <w:tc>
          <w:tcPr>
            <w:tcW w:w="1005" w:type="dxa"/>
            <w:tcBorders>
              <w:tl2br w:val="nil"/>
              <w:tr2bl w:val="nil"/>
            </w:tcBorders>
            <w:vAlign w:val="center"/>
          </w:tcPr>
          <w:p>
            <w:pPr>
              <w:spacing w:line="240" w:lineRule="exact"/>
              <w:jc w:val="center"/>
              <w:rPr>
                <w:rFonts w:hint="eastAsia" w:ascii="楷体" w:hAnsi="楷体" w:eastAsia="楷体" w:cs="楷体"/>
                <w:b/>
                <w:bCs/>
                <w:color w:val="000000"/>
                <w:sz w:val="21"/>
                <w:szCs w:val="21"/>
              </w:rPr>
            </w:pPr>
            <w:r>
              <w:rPr>
                <w:rFonts w:hint="eastAsia" w:ascii="楷体" w:hAnsi="楷体" w:eastAsia="楷体" w:cs="楷体"/>
                <w:b/>
                <w:bCs/>
                <w:color w:val="000000"/>
                <w:sz w:val="21"/>
                <w:szCs w:val="21"/>
              </w:rPr>
              <w:t>该平台</w:t>
            </w:r>
          </w:p>
          <w:p>
            <w:pPr>
              <w:spacing w:line="240" w:lineRule="exact"/>
              <w:jc w:val="center"/>
              <w:rPr>
                <w:rFonts w:hint="eastAsia" w:ascii="仿宋" w:hAnsi="仿宋" w:eastAsia="仿宋"/>
                <w:color w:val="000000"/>
                <w:sz w:val="21"/>
                <w:szCs w:val="21"/>
              </w:rPr>
            </w:pPr>
            <w:r>
              <w:rPr>
                <w:rFonts w:hint="eastAsia" w:ascii="楷体" w:hAnsi="楷体" w:eastAsia="楷体" w:cs="楷体"/>
                <w:b/>
                <w:bCs/>
                <w:color w:val="000000"/>
                <w:sz w:val="21"/>
                <w:szCs w:val="21"/>
              </w:rPr>
              <w:t>互动量</w:t>
            </w:r>
          </w:p>
        </w:tc>
        <w:tc>
          <w:tcPr>
            <w:tcW w:w="2439" w:type="dxa"/>
            <w:gridSpan w:val="3"/>
            <w:tcBorders>
              <w:tl2br w:val="nil"/>
              <w:tr2bl w:val="nil"/>
            </w:tcBorders>
            <w:vAlign w:val="center"/>
          </w:tcPr>
          <w:p>
            <w:pPr>
              <w:spacing w:line="240" w:lineRule="exact"/>
              <w:rPr>
                <w:rFonts w:hint="eastAsia" w:ascii="仿宋" w:hAnsi="仿宋" w:eastAsia="仿宋"/>
                <w:color w:val="000000"/>
                <w:sz w:val="21"/>
                <w:szCs w:val="21"/>
              </w:rPr>
            </w:pPr>
          </w:p>
        </w:tc>
        <w:tc>
          <w:tcPr>
            <w:tcW w:w="1122" w:type="dxa"/>
            <w:tcBorders>
              <w:tl2br w:val="nil"/>
              <w:tr2bl w:val="nil"/>
            </w:tcBorders>
            <w:vAlign w:val="center"/>
          </w:tcPr>
          <w:p>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rPr>
              <w:t>全网总传播量（万）</w:t>
            </w:r>
          </w:p>
        </w:tc>
        <w:tc>
          <w:tcPr>
            <w:tcW w:w="1532" w:type="dxa"/>
            <w:tcBorders>
              <w:tl2br w:val="nil"/>
              <w:tr2bl w:val="nil"/>
            </w:tcBorders>
            <w:vAlign w:val="center"/>
          </w:tcPr>
          <w:p>
            <w:pPr>
              <w:spacing w:line="240" w:lineRule="exact"/>
              <w:rPr>
                <w:rFonts w:hint="eastAsia" w:ascii="仿宋" w:hAnsi="仿宋" w:eastAsia="仿宋"/>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6" w:hRule="exact"/>
        </w:trPr>
        <w:tc>
          <w:tcPr>
            <w:tcW w:w="992" w:type="dxa"/>
            <w:tcBorders>
              <w:tl2br w:val="nil"/>
              <w:tr2bl w:val="nil"/>
            </w:tcBorders>
            <w:vAlign w:val="center"/>
          </w:tcPr>
          <w:p>
            <w:pPr>
              <w:spacing w:line="320" w:lineRule="exact"/>
              <w:jc w:val="center"/>
              <w:rPr>
                <w:rFonts w:hint="eastAsia" w:ascii="华文中宋" w:hAnsi="华文中宋" w:eastAsia="华文中宋"/>
                <w:sz w:val="28"/>
              </w:rPr>
            </w:pPr>
            <w:r>
              <w:rPr>
                <w:rFonts w:hint="eastAsia" w:ascii="华文中宋" w:hAnsi="华文中宋" w:eastAsia="华文中宋"/>
                <w:sz w:val="28"/>
              </w:rPr>
              <w:t xml:space="preserve">  ︵</w:t>
            </w:r>
          </w:p>
          <w:p>
            <w:pPr>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pPr>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pPr>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pPr>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pPr>
              <w:spacing w:line="240" w:lineRule="exact"/>
              <w:jc w:val="center"/>
              <w:rPr>
                <w:rFonts w:hint="eastAsia" w:ascii="华文中宋" w:hAnsi="华文中宋" w:eastAsia="华文中宋"/>
                <w:color w:val="000000"/>
                <w:sz w:val="28"/>
              </w:rPr>
            </w:pPr>
            <w:r>
              <w:rPr>
                <w:rFonts w:hint="eastAsia" w:ascii="华文中宋" w:hAnsi="华文中宋" w:eastAsia="华文中宋"/>
                <w:sz w:val="28"/>
              </w:rPr>
              <w:t xml:space="preserve">  ︶</w:t>
            </w:r>
          </w:p>
        </w:tc>
        <w:tc>
          <w:tcPr>
            <w:tcW w:w="8821" w:type="dxa"/>
            <w:gridSpan w:val="9"/>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仿宋" w:hAnsi="仿宋" w:eastAsia="仿宋" w:cs="仿宋"/>
                <w:color w:val="000000"/>
                <w:sz w:val="24"/>
                <w:szCs w:val="24"/>
                <w:lang w:bidi="ar"/>
              </w:rPr>
            </w:pPr>
            <w:r>
              <w:rPr>
                <w:rFonts w:hint="eastAsia" w:ascii="仿宋" w:hAnsi="仿宋" w:eastAsia="仿宋" w:cs="仿宋"/>
                <w:color w:val="000000"/>
                <w:sz w:val="24"/>
                <w:szCs w:val="24"/>
                <w:lang w:bidi="ar"/>
              </w:rPr>
              <w:t>这组报道主题重大，观点鲜明，“点”“线”“面”协同发力，以敏锐的触角与创新的表达，全景式展现福建民营经济的光明前景和丰富实践。立足福建优势和特色，准确把握新闻宣传的时、度、效，反响较大，为福建加快实施民营经济强省战略，因地制宜发展新质生产力留下了鲜活样本和时代纪录。</w:t>
            </w:r>
          </w:p>
          <w:p>
            <w:pPr>
              <w:spacing w:line="240" w:lineRule="exact"/>
              <w:rPr>
                <w:rFonts w:hint="eastAsia" w:ascii="华文中宋" w:hAnsi="华文中宋" w:eastAsia="华文中宋"/>
                <w:color w:val="000000"/>
                <w:spacing w:val="-2"/>
                <w:sz w:val="28"/>
              </w:rPr>
            </w:pPr>
          </w:p>
          <w:p>
            <w:pPr>
              <w:spacing w:line="24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pPr>
              <w:spacing w:line="360" w:lineRule="exact"/>
              <w:rPr>
                <w:rFonts w:hint="eastAsia"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pPr>
              <w:rPr>
                <w:rFonts w:hint="eastAsia"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Droid Sans Fallbac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Droid Sans Fallback">
    <w:panose1 w:val="020B0502000000000001"/>
    <w:charset w:val="86"/>
    <w:family w:val="auto"/>
    <w:pitch w:val="default"/>
    <w:sig w:usb0="910002FF" w:usb1="2BDFFCFB" w:usb2="00000036" w:usb3="00000000" w:csb0="203F01FF" w:csb1="D7FF0000"/>
  </w:font>
  <w:font w:name="方正仿宋_GB2312">
    <w:altName w:val="仿宋"/>
    <w:panose1 w:val="00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华文中宋">
    <w:altName w:val="Droid Sans Fallback"/>
    <w:panose1 w:val="02010600040101010101"/>
    <w:charset w:val="86"/>
    <w:family w:val="auto"/>
    <w:pitch w:val="default"/>
    <w:sig w:usb0="00000000" w:usb1="00000000" w:usb2="00000010" w:usb3="00000000" w:csb0="0004009F" w:csb1="00000000"/>
  </w:font>
  <w:font w:name="楷体">
    <w:altName w:val="Droid Sans Fallback"/>
    <w:panose1 w:val="02010609060101010101"/>
    <w:charset w:val="86"/>
    <w:family w:val="modern"/>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0F783C8"/>
    <w:rsid w:val="00064A07"/>
    <w:rsid w:val="004D4580"/>
    <w:rsid w:val="00596C82"/>
    <w:rsid w:val="00F67EDA"/>
    <w:rsid w:val="01882864"/>
    <w:rsid w:val="28192AAD"/>
    <w:rsid w:val="3C973432"/>
    <w:rsid w:val="4BF63B8C"/>
    <w:rsid w:val="64E8300B"/>
    <w:rsid w:val="700F1C4A"/>
    <w:rsid w:val="7BF15AB6"/>
    <w:rsid w:val="BCAB61A5"/>
    <w:rsid w:val="F0F783C8"/>
    <w:rsid w:val="F7EF01AC"/>
    <w:rsid w:val="F7FFB7BF"/>
    <w:rsid w:val="FBFE2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569</Words>
  <Characters>592</Characters>
  <Lines>21</Lines>
  <Paragraphs>13</Paragraphs>
  <TotalTime>181</TotalTime>
  <ScaleCrop>false</ScaleCrop>
  <LinksUpToDate>false</LinksUpToDate>
  <CharactersWithSpaces>1148</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2026-04-28T22:53:00Z</dcterms:created>
  <dc:creator>比比多味豆</dc:creator>
  <cp:lastModifiedBy>greatwall</cp:lastModifiedBy>
  <cp:lastPrinted>2026-04-30T20:50:00Z</cp:lastPrinted>
  <dcterms:modified xsi:type="dcterms:W3CDTF">2026-05-10T21:17:08Z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2052-11.1.0.11719</vt:lpwstr>
  </property>
  <property fmtid="{D5CDD505-2E9C-101B-9397-08002B2CF9AE}" pid="3" name="ICV">
    <vt:lpwstr>0589501A2D78452F901E2F19087C373B_13</vt:lpwstr>
  </property>
  <property fmtid="{D5CDD505-2E9C-101B-9397-08002B2CF9AE}" pid="4" name="KSOTemplateDocerSaveRecord">
    <vt:lpwstr>eyJoZGlkIjoiMmMzNWRkZmEwZjZhOWM5NmExNDBkYzA4NzdiOGJhMWYiLCJ1c2VySWQiOiI1OTQwNDQxMzQifQ==</vt:lpwstr>
  </property>
</Properties>
</file>