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3E498">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23303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2503C0F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2BCB9AD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21B9A52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大陆首部促进两岸标准共通</w:t>
            </w:r>
          </w:p>
          <w:p w14:paraId="02580EFB">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地方性法规落地福建</w:t>
            </w:r>
          </w:p>
        </w:tc>
        <w:tc>
          <w:tcPr>
            <w:tcW w:w="1819" w:type="dxa"/>
            <w:gridSpan w:val="2"/>
            <w:tcBorders>
              <w:tl2br w:val="nil"/>
              <w:tr2bl w:val="nil"/>
            </w:tcBorders>
            <w:vAlign w:val="center"/>
          </w:tcPr>
          <w:p w14:paraId="66621F6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102C2BE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3693DD7B">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消息</w:t>
            </w:r>
          </w:p>
        </w:tc>
      </w:tr>
      <w:tr w14:paraId="51527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jc w:val="center"/>
        </w:trPr>
        <w:tc>
          <w:tcPr>
            <w:tcW w:w="992" w:type="dxa"/>
            <w:vMerge w:val="restart"/>
            <w:tcBorders>
              <w:tl2br w:val="nil"/>
              <w:tr2bl w:val="nil"/>
            </w:tcBorders>
            <w:vAlign w:val="center"/>
          </w:tcPr>
          <w:p w14:paraId="47CE172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571DB97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CEDFA">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942字</w:t>
            </w:r>
          </w:p>
        </w:tc>
        <w:tc>
          <w:tcPr>
            <w:tcW w:w="1819" w:type="dxa"/>
            <w:gridSpan w:val="2"/>
            <w:tcBorders>
              <w:tl2br w:val="nil"/>
              <w:tr2bl w:val="nil"/>
            </w:tcBorders>
            <w:vAlign w:val="center"/>
          </w:tcPr>
          <w:p w14:paraId="5297D4C9">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35F2ED6F">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文字消息</w:t>
            </w:r>
          </w:p>
        </w:tc>
      </w:tr>
      <w:tr w14:paraId="312AC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992" w:type="dxa"/>
            <w:vMerge w:val="continue"/>
            <w:tcBorders>
              <w:tl2br w:val="nil"/>
              <w:tr2bl w:val="nil"/>
            </w:tcBorders>
            <w:vAlign w:val="center"/>
          </w:tcPr>
          <w:p w14:paraId="3569EE48">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39A9E0">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55CF98CC">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7D66FB66">
            <w:pPr>
              <w:spacing w:line="240" w:lineRule="exact"/>
              <w:jc w:val="center"/>
              <w:rPr>
                <w:rFonts w:hint="default" w:ascii="仿宋" w:hAnsi="仿宋" w:eastAsia="仿宋" w:cs="仿宋"/>
                <w:color w:val="000000"/>
                <w:sz w:val="21"/>
                <w:szCs w:val="15"/>
                <w:lang w:val="en-US" w:eastAsia="zh-CN"/>
              </w:rPr>
            </w:pPr>
            <w:r>
              <w:rPr>
                <w:rFonts w:hint="eastAsia" w:ascii="仿宋" w:hAnsi="仿宋" w:eastAsia="仿宋" w:cs="仿宋"/>
                <w:color w:val="000000"/>
                <w:sz w:val="24"/>
                <w:szCs w:val="24"/>
                <w:lang w:val="en-US" w:eastAsia="zh-CN"/>
              </w:rPr>
              <w:t>中文</w:t>
            </w:r>
          </w:p>
        </w:tc>
      </w:tr>
      <w:tr w14:paraId="3796D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jc w:val="center"/>
        </w:trPr>
        <w:tc>
          <w:tcPr>
            <w:tcW w:w="992" w:type="dxa"/>
            <w:tcBorders>
              <w:tl2br w:val="nil"/>
              <w:tr2bl w:val="nil"/>
            </w:tcBorders>
            <w:vAlign w:val="center"/>
          </w:tcPr>
          <w:p w14:paraId="38A0FC01">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6304232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5D7B1EBB">
            <w:pPr>
              <w:spacing w:line="240" w:lineRule="exact"/>
              <w:jc w:val="center"/>
              <w:rPr>
                <w:rFonts w:hint="eastAsia" w:ascii="华文中宋" w:hAnsi="华文中宋" w:eastAsia="华文中宋"/>
                <w:color w:val="000000"/>
                <w:sz w:val="21"/>
                <w:szCs w:val="21"/>
              </w:rPr>
            </w:pPr>
            <w:r>
              <w:rPr>
                <w:rFonts w:hint="eastAsia" w:ascii="仿宋" w:hAnsi="仿宋" w:eastAsia="仿宋" w:cs="仿宋"/>
                <w:color w:val="000000"/>
                <w:sz w:val="24"/>
                <w:szCs w:val="24"/>
              </w:rPr>
              <w:t>郑昭、王凤山、朱子微</w:t>
            </w:r>
          </w:p>
        </w:tc>
        <w:tc>
          <w:tcPr>
            <w:tcW w:w="1819" w:type="dxa"/>
            <w:gridSpan w:val="2"/>
            <w:tcBorders>
              <w:tl2br w:val="nil"/>
              <w:tr2bl w:val="nil"/>
            </w:tcBorders>
            <w:vAlign w:val="center"/>
          </w:tcPr>
          <w:p w14:paraId="7A72F956">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55E51D04">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戴艳梅、李闽、姚雨欣</w:t>
            </w:r>
          </w:p>
        </w:tc>
      </w:tr>
      <w:tr w14:paraId="19876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03392DC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7E94112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234396B2">
            <w:pPr>
              <w:spacing w:line="240" w:lineRule="exact"/>
              <w:jc w:val="center"/>
              <w:rPr>
                <w:rFonts w:hint="eastAsia" w:ascii="方正仿宋_GB2312" w:hAnsi="仿宋"/>
                <w:color w:val="000000"/>
                <w:szCs w:val="21"/>
              </w:rPr>
            </w:pPr>
            <w:r>
              <w:rPr>
                <w:rFonts w:hint="eastAsia" w:ascii="仿宋" w:hAnsi="仿宋" w:eastAsia="仿宋" w:cs="仿宋"/>
                <w:color w:val="000000"/>
                <w:sz w:val="24"/>
                <w:szCs w:val="24"/>
              </w:rPr>
              <w:t>福建日报</w:t>
            </w:r>
          </w:p>
        </w:tc>
        <w:tc>
          <w:tcPr>
            <w:tcW w:w="1819" w:type="dxa"/>
            <w:gridSpan w:val="2"/>
            <w:tcBorders>
              <w:tl2br w:val="nil"/>
              <w:tr2bl w:val="nil"/>
            </w:tcBorders>
            <w:vAlign w:val="center"/>
          </w:tcPr>
          <w:p w14:paraId="5DB46B65">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18D0BA3E">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22B8B821">
            <w:pPr>
              <w:spacing w:line="240" w:lineRule="exact"/>
              <w:jc w:val="center"/>
              <w:rPr>
                <w:rFonts w:hint="eastAsia" w:ascii="仿宋" w:hAnsi="仿宋" w:eastAsia="仿宋" w:cs="仿宋"/>
                <w:color w:val="000000"/>
                <w:sz w:val="21"/>
                <w:szCs w:val="15"/>
              </w:rPr>
            </w:pPr>
            <w:r>
              <w:rPr>
                <w:rFonts w:hint="eastAsia" w:ascii="仿宋" w:hAnsi="仿宋" w:eastAsia="仿宋" w:cs="仿宋"/>
                <w:color w:val="000000"/>
                <w:sz w:val="24"/>
                <w:szCs w:val="24"/>
              </w:rPr>
              <w:t>福建日报</w:t>
            </w:r>
          </w:p>
        </w:tc>
      </w:tr>
      <w:tr w14:paraId="16E66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exact"/>
          <w:jc w:val="center"/>
        </w:trPr>
        <w:tc>
          <w:tcPr>
            <w:tcW w:w="1504" w:type="dxa"/>
            <w:gridSpan w:val="2"/>
            <w:tcBorders>
              <w:tl2br w:val="nil"/>
              <w:tr2bl w:val="nil"/>
            </w:tcBorders>
            <w:vAlign w:val="center"/>
          </w:tcPr>
          <w:p w14:paraId="235F845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351231C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7"/>
                <w:sz w:val="24"/>
                <w:szCs w:val="21"/>
              </w:rPr>
              <w:t>（</w:t>
            </w:r>
            <w:r>
              <w:rPr>
                <w:rFonts w:hint="eastAsia" w:ascii="华文中宋" w:hAnsi="华文中宋" w:eastAsia="华文中宋"/>
                <w:color w:val="000000"/>
                <w:spacing w:val="-17"/>
                <w:sz w:val="22"/>
                <w:szCs w:val="21"/>
              </w:rPr>
              <w:t>名称和版次）</w:t>
            </w:r>
          </w:p>
        </w:tc>
        <w:tc>
          <w:tcPr>
            <w:tcW w:w="3216" w:type="dxa"/>
            <w:gridSpan w:val="3"/>
            <w:tcBorders>
              <w:tl2br w:val="nil"/>
              <w:tr2bl w:val="nil"/>
            </w:tcBorders>
            <w:vAlign w:val="center"/>
          </w:tcPr>
          <w:p w14:paraId="0A71AB53">
            <w:pPr>
              <w:spacing w:line="240" w:lineRule="exact"/>
              <w:jc w:val="center"/>
              <w:rPr>
                <w:rFonts w:hint="eastAsia" w:ascii="方正仿宋_GB2312" w:hAnsi="仿宋"/>
                <w:color w:val="000000"/>
                <w:szCs w:val="21"/>
              </w:rPr>
            </w:pPr>
            <w:r>
              <w:rPr>
                <w:rFonts w:hint="eastAsia" w:ascii="仿宋" w:hAnsi="仿宋" w:eastAsia="仿宋" w:cs="仿宋"/>
                <w:color w:val="000000"/>
                <w:sz w:val="24"/>
                <w:szCs w:val="24"/>
              </w:rPr>
              <w:t>要闻6版</w:t>
            </w:r>
          </w:p>
        </w:tc>
        <w:tc>
          <w:tcPr>
            <w:tcW w:w="872" w:type="dxa"/>
            <w:tcBorders>
              <w:tl2br w:val="nil"/>
              <w:tr2bl w:val="nil"/>
            </w:tcBorders>
            <w:vAlign w:val="center"/>
          </w:tcPr>
          <w:p w14:paraId="6843CF2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532917E9">
            <w:pPr>
              <w:spacing w:line="240" w:lineRule="exact"/>
              <w:jc w:val="center"/>
              <w:rPr>
                <w:rFonts w:hint="eastAsia" w:ascii="方正仿宋_GB2312" w:hAnsi="仿宋"/>
                <w:color w:val="000000"/>
                <w:szCs w:val="21"/>
              </w:rPr>
            </w:pPr>
            <w:r>
              <w:rPr>
                <w:rFonts w:hint="eastAsia" w:ascii="仿宋" w:hAnsi="仿宋" w:eastAsia="仿宋" w:cs="仿宋"/>
                <w:color w:val="000000"/>
                <w:sz w:val="24"/>
                <w:szCs w:val="24"/>
              </w:rPr>
              <w:t>2025年11月28日</w:t>
            </w:r>
          </w:p>
        </w:tc>
      </w:tr>
      <w:tr w14:paraId="06958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jc w:val="center"/>
        </w:trPr>
        <w:tc>
          <w:tcPr>
            <w:tcW w:w="1504" w:type="dxa"/>
            <w:gridSpan w:val="2"/>
            <w:tcBorders>
              <w:tl2br w:val="nil"/>
              <w:tr2bl w:val="nil"/>
            </w:tcBorders>
            <w:vAlign w:val="center"/>
          </w:tcPr>
          <w:p w14:paraId="0999FA19">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604F5E0F">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0803B2AA">
            <w:pPr>
              <w:spacing w:line="240" w:lineRule="exact"/>
              <w:jc w:val="left"/>
              <w:rPr>
                <w:rFonts w:hint="eastAsia" w:ascii="华文中宋" w:hAnsi="华文中宋" w:eastAsia="华文中宋"/>
                <w:color w:val="000000"/>
                <w:sz w:val="28"/>
              </w:rPr>
            </w:pPr>
            <w:r>
              <w:rPr>
                <w:rFonts w:hint="eastAsia" w:ascii="仿宋" w:hAnsi="仿宋" w:eastAsia="仿宋" w:cs="仿宋"/>
                <w:color w:val="000000"/>
                <w:sz w:val="24"/>
                <w:szCs w:val="24"/>
              </w:rPr>
              <w:t>https://share.fjdaily.com/displayTemplate/news/newsDetail/5605/3725365.html?isShare=true&amp;advColumnId=1102&amp;linkV=1777259948000</w:t>
            </w:r>
          </w:p>
        </w:tc>
        <w:tc>
          <w:tcPr>
            <w:tcW w:w="1742" w:type="dxa"/>
            <w:gridSpan w:val="2"/>
            <w:tcBorders>
              <w:tl2br w:val="nil"/>
              <w:tr2bl w:val="nil"/>
            </w:tcBorders>
            <w:vAlign w:val="center"/>
          </w:tcPr>
          <w:p w14:paraId="339B06AA">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6597424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6DECB72">
            <w:pPr>
              <w:spacing w:line="240" w:lineRule="exact"/>
              <w:jc w:val="left"/>
              <w:rPr>
                <w:rFonts w:hint="eastAsia" w:ascii="华文中宋" w:hAnsi="华文中宋" w:eastAsia="华文中宋"/>
                <w:color w:val="000000"/>
                <w:sz w:val="28"/>
              </w:rPr>
            </w:pPr>
            <w:r>
              <w:rPr>
                <w:rFonts w:hint="eastAsia" w:ascii="仿宋" w:hAnsi="仿宋" w:eastAsia="仿宋" w:cs="仿宋"/>
                <w:color w:val="000000"/>
                <w:sz w:val="24"/>
                <w:szCs w:val="24"/>
              </w:rPr>
              <w:t>否</w:t>
            </w:r>
          </w:p>
        </w:tc>
      </w:tr>
      <w:tr w14:paraId="761C5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6" w:hRule="atLeast"/>
          <w:jc w:val="center"/>
        </w:trPr>
        <w:tc>
          <w:tcPr>
            <w:tcW w:w="992" w:type="dxa"/>
            <w:tcBorders>
              <w:tl2br w:val="nil"/>
              <w:tr2bl w:val="nil"/>
            </w:tcBorders>
            <w:vAlign w:val="center"/>
          </w:tcPr>
          <w:p w14:paraId="69A6A964">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6B18C0D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4902BF0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0FAC97A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37CC756C">
            <w:pPr>
              <w:keepNext w:val="0"/>
              <w:keepLines w:val="0"/>
              <w:pageBreakBefore w:val="0"/>
              <w:widowControl w:val="0"/>
              <w:kinsoku/>
              <w:wordWrap/>
              <w:overflowPunct/>
              <w:topLinePunct w:val="0"/>
              <w:autoSpaceDE/>
              <w:autoSpaceDN/>
              <w:bidi w:val="0"/>
              <w:adjustRightInd/>
              <w:snapToGrid/>
              <w:spacing w:line="280" w:lineRule="exact"/>
              <w:ind w:firstLine="456" w:firstLineChars="200"/>
              <w:textAlignment w:val="auto"/>
              <w:rPr>
                <w:rFonts w:hint="eastAsia" w:ascii="仿宋" w:hAnsi="仿宋" w:eastAsia="仿宋"/>
                <w:color w:val="000000"/>
                <w:w w:val="95"/>
                <w:sz w:val="21"/>
                <w:szCs w:val="21"/>
              </w:rPr>
            </w:pPr>
            <w:r>
              <w:rPr>
                <w:rFonts w:hint="eastAsia" w:ascii="仿宋" w:hAnsi="仿宋" w:eastAsia="仿宋"/>
                <w:color w:val="000000"/>
                <w:w w:val="95"/>
                <w:sz w:val="24"/>
                <w:szCs w:val="24"/>
              </w:rPr>
              <w:t>习近平总书记赋予福建“在探索海峡两岸融合发展新路上迈出更大步伐”的殷切期望。作为两岸融合发展示范区，福建在涉台立法上先行先试，出台了大陆首部专门为促进两岸标准共通而制定的地方性法规。记者从该项法规列入年度立法计划之初便密切跟踪采访，参与立法论证会，旁听法规审议，与立法专家、学者及相关部门深入交流，形成了从立法初衷到制度设计的完整认知链条，确保报道既有专业深度，又有政策高度。作品重点阐释了福建如何将成熟实践经验上升为法规制度及其创新机制，深入浅出地解读了“标准共通”这一专业性较强的核心主题。通过采访多位权威人士，多维度呈现了法规出台的背景、意义及两岸同胞的共同期盼，充分展现了两岸关系从“小三通”的物理连接迈向“新四通”机制融合的历史性跨越。作品发布后，在两岸持续引发强烈关注，让更多台商台青看到了大陆实实在在的机遇，增强了在闽发展的信心和共同家园意识，产生了“解政策之惑、拓融合之路、聚同胞之心”的多维社会效应，为两岸深度融合发展注入了新的动能。</w:t>
            </w:r>
          </w:p>
        </w:tc>
      </w:tr>
      <w:tr w14:paraId="3B910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exact"/>
          <w:jc w:val="center"/>
        </w:trPr>
        <w:tc>
          <w:tcPr>
            <w:tcW w:w="992" w:type="dxa"/>
            <w:vMerge w:val="restart"/>
            <w:tcBorders>
              <w:tl2br w:val="nil"/>
              <w:tr2bl w:val="nil"/>
            </w:tcBorders>
            <w:vAlign w:val="center"/>
          </w:tcPr>
          <w:p w14:paraId="5C992DA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5139ADF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335CF2D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79FC2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4B21A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51BC25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14:paraId="5C73F730">
            <w:pPr>
              <w:spacing w:line="240" w:lineRule="exact"/>
              <w:jc w:val="left"/>
              <w:rPr>
                <w:rFonts w:hint="eastAsia" w:ascii="仿宋" w:hAnsi="仿宋" w:eastAsia="仿宋"/>
                <w:color w:val="000000"/>
                <w:szCs w:val="21"/>
              </w:rPr>
            </w:pPr>
            <w:r>
              <w:rPr>
                <w:rFonts w:hint="eastAsia" w:ascii="仿宋" w:hAnsi="仿宋" w:eastAsia="仿宋" w:cs="仿宋"/>
                <w:color w:val="000000"/>
                <w:sz w:val="24"/>
                <w:szCs w:val="24"/>
              </w:rPr>
              <w:t>https://share.fjdaily.com/displayTemplate/news/newsDetail/5605/3725365.html?isShare=true&amp;advColumnId=1102&amp;linkV=1777259948000</w:t>
            </w:r>
          </w:p>
        </w:tc>
      </w:tr>
      <w:tr w14:paraId="21E51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 w:hRule="exact"/>
          <w:jc w:val="center"/>
        </w:trPr>
        <w:tc>
          <w:tcPr>
            <w:tcW w:w="992" w:type="dxa"/>
            <w:vMerge w:val="continue"/>
            <w:tcBorders>
              <w:tl2br w:val="nil"/>
              <w:tr2bl w:val="nil"/>
            </w:tcBorders>
            <w:vAlign w:val="center"/>
          </w:tcPr>
          <w:p w14:paraId="0E6510BF">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14:paraId="1741DF35">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7F703B64">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vAlign w:val="center"/>
          </w:tcPr>
          <w:p w14:paraId="2DE31DC9">
            <w:pPr>
              <w:spacing w:line="240" w:lineRule="exact"/>
              <w:jc w:val="center"/>
              <w:rPr>
                <w:rFonts w:hint="eastAsia" w:ascii="仿宋" w:hAnsi="仿宋" w:eastAsia="仿宋"/>
                <w:color w:val="000000"/>
                <w:sz w:val="21"/>
                <w:szCs w:val="21"/>
              </w:rPr>
            </w:pPr>
            <w:r>
              <w:rPr>
                <w:rFonts w:hint="eastAsia" w:ascii="仿宋" w:hAnsi="仿宋" w:eastAsia="仿宋"/>
                <w:color w:val="000000"/>
                <w:sz w:val="21"/>
                <w:szCs w:val="21"/>
              </w:rPr>
              <w:t>183万</w:t>
            </w:r>
          </w:p>
        </w:tc>
        <w:tc>
          <w:tcPr>
            <w:tcW w:w="1005" w:type="dxa"/>
            <w:tcBorders>
              <w:tl2br w:val="nil"/>
              <w:tr2bl w:val="nil"/>
            </w:tcBorders>
            <w:vAlign w:val="center"/>
          </w:tcPr>
          <w:p w14:paraId="20F13765">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6DAD004">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0FA3AE93">
            <w:pPr>
              <w:spacing w:line="240" w:lineRule="exact"/>
              <w:jc w:val="center"/>
              <w:rPr>
                <w:rFonts w:hint="eastAsia" w:ascii="仿宋" w:hAnsi="仿宋" w:eastAsia="仿宋"/>
                <w:color w:val="000000"/>
                <w:sz w:val="21"/>
                <w:szCs w:val="21"/>
              </w:rPr>
            </w:pPr>
            <w:r>
              <w:rPr>
                <w:rFonts w:hint="eastAsia" w:ascii="仿宋" w:hAnsi="仿宋" w:eastAsia="仿宋"/>
                <w:color w:val="000000"/>
                <w:sz w:val="21"/>
                <w:szCs w:val="21"/>
              </w:rPr>
              <w:t>点赞5449</w:t>
            </w:r>
          </w:p>
        </w:tc>
        <w:tc>
          <w:tcPr>
            <w:tcW w:w="1122" w:type="dxa"/>
            <w:tcBorders>
              <w:tl2br w:val="nil"/>
              <w:tr2bl w:val="nil"/>
            </w:tcBorders>
            <w:vAlign w:val="center"/>
          </w:tcPr>
          <w:p w14:paraId="690B9A6C">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7F76F6F4">
            <w:pPr>
              <w:spacing w:line="240" w:lineRule="exact"/>
              <w:jc w:val="center"/>
              <w:rPr>
                <w:rFonts w:hint="eastAsia" w:ascii="仿宋" w:hAnsi="仿宋" w:eastAsia="仿宋"/>
                <w:color w:val="000000"/>
                <w:sz w:val="21"/>
                <w:szCs w:val="21"/>
              </w:rPr>
            </w:pPr>
            <w:r>
              <w:rPr>
                <w:rFonts w:hint="eastAsia" w:ascii="仿宋" w:hAnsi="仿宋" w:eastAsia="仿宋"/>
                <w:color w:val="000000"/>
                <w:sz w:val="21"/>
                <w:szCs w:val="21"/>
              </w:rPr>
              <w:t>371</w:t>
            </w:r>
          </w:p>
        </w:tc>
      </w:tr>
      <w:tr w14:paraId="01C57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7" w:hRule="exact"/>
          <w:jc w:val="center"/>
        </w:trPr>
        <w:tc>
          <w:tcPr>
            <w:tcW w:w="992" w:type="dxa"/>
            <w:tcBorders>
              <w:tl2br w:val="nil"/>
              <w:tr2bl w:val="nil"/>
            </w:tcBorders>
            <w:vAlign w:val="center"/>
          </w:tcPr>
          <w:p w14:paraId="0615EB6D">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3EEBBBBE">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681EA0BD">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6F72ED36">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5561AD1A">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2FB37335">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0775D226">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left"/>
              <w:textAlignment w:val="auto"/>
              <w:rPr>
                <w:rFonts w:hint="eastAsia" w:ascii="华文中宋" w:hAnsi="华文中宋" w:eastAsia="华文中宋"/>
                <w:color w:val="000000"/>
                <w:spacing w:val="-2"/>
                <w:sz w:val="24"/>
                <w:szCs w:val="24"/>
              </w:rPr>
            </w:pPr>
            <w:r>
              <w:rPr>
                <w:rFonts w:hint="eastAsia" w:ascii="仿宋" w:hAnsi="仿宋" w:eastAsia="仿宋" w:cs="仿宋"/>
                <w:color w:val="000000"/>
                <w:sz w:val="24"/>
                <w:szCs w:val="24"/>
              </w:rPr>
              <w:t>作品紧扣习近平总书记在《告台湾同胞书》发表40周年纪念会上提出的“两岸要应通尽通”中“标准共通”这一重要主张，在福建建设两岸融合发展示范区的背景下，敏锐捕捉到首部地方性法规的立法动态，具有重要的政治意义和新闻价值。同时，作品叙事生动，让两岸标准共通的概念更具温度、更接地气，不仅报道了立法事件本身，更梳理了福建多年来在两岸标准共通方面的先行先试成果，展现了福建作为对台前沿的责任担当。从“小三通”到“新四通”的逻辑贯穿全文，更是深刻揭示了标准共通的桥梁作用，为推动两岸融合提供了可借鉴的“福建经验”。</w:t>
            </w:r>
            <w:r>
              <w:rPr>
                <w:rFonts w:hint="eastAsia" w:ascii="仿宋" w:hAnsi="仿宋" w:eastAsia="仿宋"/>
                <w:color w:val="000000"/>
                <w:w w:val="95"/>
                <w:sz w:val="24"/>
                <w:szCs w:val="24"/>
              </w:rPr>
              <w:t>经国家法律法规数据库（https://flk.npc.gov.cn/index）查询核实，该条例确为大陆首部相关地方立法，具有开创性意义。</w:t>
            </w:r>
          </w:p>
          <w:p w14:paraId="636C73ED">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21C7BC05">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5AC7DD5F"/>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D9EA1">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16F"/>
    <w:rsid w:val="0018274C"/>
    <w:rsid w:val="00337586"/>
    <w:rsid w:val="0051016F"/>
    <w:rsid w:val="005D5152"/>
    <w:rsid w:val="006834BA"/>
    <w:rsid w:val="00A85AF1"/>
    <w:rsid w:val="04BD4784"/>
    <w:rsid w:val="05414242"/>
    <w:rsid w:val="05900FD6"/>
    <w:rsid w:val="09D5345C"/>
    <w:rsid w:val="09D94E35"/>
    <w:rsid w:val="0C2F32F7"/>
    <w:rsid w:val="0CC955BE"/>
    <w:rsid w:val="0E0A5DCA"/>
    <w:rsid w:val="0F3C1EB4"/>
    <w:rsid w:val="103E4A53"/>
    <w:rsid w:val="10D80401"/>
    <w:rsid w:val="143940BA"/>
    <w:rsid w:val="151439D2"/>
    <w:rsid w:val="1517701E"/>
    <w:rsid w:val="16EA2C3C"/>
    <w:rsid w:val="16F2389F"/>
    <w:rsid w:val="18697B91"/>
    <w:rsid w:val="19810F0A"/>
    <w:rsid w:val="1BB235FD"/>
    <w:rsid w:val="1C295FB5"/>
    <w:rsid w:val="1C536B8E"/>
    <w:rsid w:val="1E0B27D7"/>
    <w:rsid w:val="209239FD"/>
    <w:rsid w:val="21867A05"/>
    <w:rsid w:val="22FF7AC6"/>
    <w:rsid w:val="231623D6"/>
    <w:rsid w:val="23166B67"/>
    <w:rsid w:val="232474D6"/>
    <w:rsid w:val="23EA427B"/>
    <w:rsid w:val="25461985"/>
    <w:rsid w:val="25C32E03"/>
    <w:rsid w:val="26B20955"/>
    <w:rsid w:val="29171B75"/>
    <w:rsid w:val="291819B2"/>
    <w:rsid w:val="2C2778B3"/>
    <w:rsid w:val="2CF8440C"/>
    <w:rsid w:val="2E5A3DAC"/>
    <w:rsid w:val="2F193C67"/>
    <w:rsid w:val="324A65F0"/>
    <w:rsid w:val="32EE65C5"/>
    <w:rsid w:val="33363900"/>
    <w:rsid w:val="35F920FC"/>
    <w:rsid w:val="385B52F0"/>
    <w:rsid w:val="38735D2A"/>
    <w:rsid w:val="3B9B5A04"/>
    <w:rsid w:val="3D212EDB"/>
    <w:rsid w:val="3F4D5267"/>
    <w:rsid w:val="3FD00372"/>
    <w:rsid w:val="43DD4E0B"/>
    <w:rsid w:val="458A7896"/>
    <w:rsid w:val="45D264C6"/>
    <w:rsid w:val="480A0199"/>
    <w:rsid w:val="48270D4B"/>
    <w:rsid w:val="486A19D2"/>
    <w:rsid w:val="494B4041"/>
    <w:rsid w:val="4BD65B5D"/>
    <w:rsid w:val="4CA94913"/>
    <w:rsid w:val="4E2A50F1"/>
    <w:rsid w:val="4E6879C7"/>
    <w:rsid w:val="4E802F63"/>
    <w:rsid w:val="5480645A"/>
    <w:rsid w:val="555252C0"/>
    <w:rsid w:val="55734FA2"/>
    <w:rsid w:val="56430A06"/>
    <w:rsid w:val="56751238"/>
    <w:rsid w:val="58D42829"/>
    <w:rsid w:val="5A850901"/>
    <w:rsid w:val="5C9E5452"/>
    <w:rsid w:val="5CEE0BCF"/>
    <w:rsid w:val="5CF74D38"/>
    <w:rsid w:val="5D250E1A"/>
    <w:rsid w:val="5F5930E0"/>
    <w:rsid w:val="5F7A57AC"/>
    <w:rsid w:val="608763D3"/>
    <w:rsid w:val="629E0254"/>
    <w:rsid w:val="655521E3"/>
    <w:rsid w:val="66501015"/>
    <w:rsid w:val="6655487D"/>
    <w:rsid w:val="67BC1058"/>
    <w:rsid w:val="68E65C61"/>
    <w:rsid w:val="6A942CE9"/>
    <w:rsid w:val="6B6A2C59"/>
    <w:rsid w:val="6CD04E9B"/>
    <w:rsid w:val="705F413A"/>
    <w:rsid w:val="70BA6401"/>
    <w:rsid w:val="70CD2B43"/>
    <w:rsid w:val="73F26870"/>
    <w:rsid w:val="74096F68"/>
    <w:rsid w:val="7431035B"/>
    <w:rsid w:val="746A2AF7"/>
    <w:rsid w:val="76404CE1"/>
    <w:rsid w:val="778B160C"/>
    <w:rsid w:val="7840713B"/>
    <w:rsid w:val="7A211BEB"/>
    <w:rsid w:val="7A401D4D"/>
    <w:rsid w:val="7C3B0FE1"/>
    <w:rsid w:val="7CDE6F23"/>
    <w:rsid w:val="7D935F5F"/>
    <w:rsid w:val="7DA07661"/>
    <w:rsid w:val="7F6A0F42"/>
    <w:rsid w:val="EE76D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943</Words>
  <Characters>1233</Characters>
  <Lines>9</Lines>
  <Paragraphs>2</Paragraphs>
  <TotalTime>16</TotalTime>
  <ScaleCrop>false</ScaleCrop>
  <LinksUpToDate>false</LinksUpToDate>
  <CharactersWithSpaces>1312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一米阳光</cp:lastModifiedBy>
  <cp:lastPrinted>2026-04-29T11:03:00Z</cp:lastPrinted>
  <dcterms:modified xsi:type="dcterms:W3CDTF">2026-05-12T01:14:42Z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eyJoZGlkIjoiMGQ2YTVmZmRiOTMyZWEwOTkzMTg1NGY4NjlhMzgwMGYiLCJ1c2VySWQiOiI0NDEwMTg5MTQifQ==</vt:lpwstr>
  </property>
  <property fmtid="{D5CDD505-2E9C-101B-9397-08002B2CF9AE}" pid="4" name="ICV">
    <vt:lpwstr>B78B7EB3EDCE4A15A36436B6738C7A7B_13</vt:lpwstr>
  </property>
</Properties>
</file>