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5"/>
        <w:tblW w:w="981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888"/>
        <w:gridCol w:w="1323"/>
        <w:gridCol w:w="1005"/>
        <w:gridCol w:w="872"/>
        <w:gridCol w:w="947"/>
        <w:gridCol w:w="620"/>
        <w:gridCol w:w="1122"/>
        <w:gridCol w:w="15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tcBorders>
              <w:tl2br w:val="nil"/>
              <w:tr2bl w:val="nil"/>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4"/>
            <w:tcBorders>
              <w:tl2br w:val="nil"/>
              <w:tr2bl w:val="nil"/>
            </w:tcBorders>
            <w:vAlign w:val="center"/>
          </w:tcPr>
          <w:p>
            <w:pPr>
              <w:spacing w:line="240" w:lineRule="exact"/>
              <w:jc w:val="center"/>
              <w:rPr>
                <w:rFonts w:hint="eastAsia" w:ascii="仿宋" w:hAnsi="仿宋" w:eastAsia="仿宋" w:cs="仿宋"/>
                <w:color w:val="000000"/>
                <w:sz w:val="24"/>
                <w:szCs w:val="24"/>
              </w:rPr>
            </w:pPr>
            <w:bookmarkStart w:id="0" w:name="OLE_LINK4"/>
            <w:bookmarkStart w:id="1" w:name="OLE_LINK3"/>
            <w:r>
              <w:rPr>
                <w:rFonts w:hint="eastAsia" w:ascii="仿宋" w:hAnsi="仿宋" w:eastAsia="仿宋" w:cs="仿宋"/>
                <w:color w:val="000000"/>
                <w:sz w:val="24"/>
                <w:szCs w:val="24"/>
              </w:rPr>
              <w:t>下党乡脱贫与宁德时代腾飞：突破“信息茧房”的台湾青年该看懂什么？</w:t>
            </w:r>
            <w:bookmarkEnd w:id="0"/>
            <w:bookmarkEnd w:id="1"/>
          </w:p>
        </w:tc>
        <w:tc>
          <w:tcPr>
            <w:tcW w:w="1819" w:type="dxa"/>
            <w:gridSpan w:val="2"/>
            <w:tcBorders>
              <w:tl2br w:val="nil"/>
              <w:tr2bl w:val="nil"/>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参评</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3"/>
            <w:tcBorders>
              <w:tl2br w:val="nil"/>
              <w:tr2bl w:val="nil"/>
            </w:tcBorders>
            <w:vAlign w:val="center"/>
          </w:tcPr>
          <w:p>
            <w:pPr>
              <w:spacing w:line="24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评论（新媒体）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Merge w:val="restart"/>
            <w:tcBorders>
              <w:tl2br w:val="nil"/>
              <w:tr2bl w:val="nil"/>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字数</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4"/>
            <w:vMerge w:val="restart"/>
            <w:tcBorders>
              <w:tl2br w:val="nil"/>
              <w:tr2bl w:val="nil"/>
            </w:tcBorders>
            <w:vAlign w:val="center"/>
          </w:tcPr>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4分36秒</w:t>
            </w:r>
          </w:p>
        </w:tc>
        <w:tc>
          <w:tcPr>
            <w:tcW w:w="1819" w:type="dxa"/>
            <w:gridSpan w:val="2"/>
            <w:tcBorders>
              <w:tl2br w:val="nil"/>
              <w:tr2bl w:val="nil"/>
            </w:tcBorders>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3"/>
            <w:tcBorders>
              <w:tl2br w:val="nil"/>
              <w:tr2bl w:val="nil"/>
            </w:tcBorders>
            <w:vAlign w:val="center"/>
          </w:tcPr>
          <w:p>
            <w:pPr>
              <w:spacing w:line="240" w:lineRule="exact"/>
              <w:jc w:val="center"/>
              <w:rPr>
                <w:rFonts w:ascii="仿宋" w:hAnsi="仿宋" w:eastAsia="仿宋" w:cs="仿宋"/>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Merge w:val="continue"/>
            <w:tcBorders>
              <w:tl2br w:val="nil"/>
              <w:tr2bl w:val="nil"/>
            </w:tcBorders>
            <w:vAlign w:val="center"/>
          </w:tcPr>
          <w:p>
            <w:pPr>
              <w:spacing w:line="320" w:lineRule="exact"/>
              <w:jc w:val="center"/>
              <w:rPr>
                <w:rFonts w:ascii="华文中宋" w:hAnsi="华文中宋" w:eastAsia="华文中宋"/>
                <w:color w:val="000000"/>
                <w:sz w:val="28"/>
              </w:rPr>
            </w:pPr>
          </w:p>
        </w:tc>
        <w:tc>
          <w:tcPr>
            <w:tcW w:w="3728" w:type="dxa"/>
            <w:gridSpan w:val="4"/>
            <w:vMerge w:val="continue"/>
            <w:tcBorders>
              <w:tl2br w:val="nil"/>
              <w:tr2bl w:val="nil"/>
            </w:tcBorders>
            <w:vAlign w:val="center"/>
          </w:tcPr>
          <w:p>
            <w:pPr>
              <w:spacing w:line="380" w:lineRule="exact"/>
              <w:ind w:firstLine="560"/>
              <w:jc w:val="center"/>
              <w:rPr>
                <w:rFonts w:hint="eastAsia" w:ascii="仿宋" w:hAnsi="仿宋" w:eastAsia="仿宋" w:cs="仿宋"/>
                <w:color w:val="000000"/>
                <w:sz w:val="24"/>
                <w:szCs w:val="24"/>
              </w:rPr>
            </w:pPr>
          </w:p>
        </w:tc>
        <w:tc>
          <w:tcPr>
            <w:tcW w:w="1819" w:type="dxa"/>
            <w:gridSpan w:val="2"/>
            <w:tcBorders>
              <w:tl2br w:val="nil"/>
              <w:tr2bl w:val="nil"/>
            </w:tcBorders>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3"/>
            <w:tcBorders>
              <w:tl2br w:val="nil"/>
              <w:tr2bl w:val="nil"/>
            </w:tcBorders>
            <w:vAlign w:val="center"/>
          </w:tcPr>
          <w:p>
            <w:pPr>
              <w:spacing w:line="24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中文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992" w:type="dxa"/>
            <w:tcBorders>
              <w:tl2br w:val="nil"/>
              <w:tr2bl w:val="nil"/>
            </w:tcBorders>
            <w:vAlign w:val="center"/>
          </w:tcPr>
          <w:p>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作者</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4"/>
            <w:tcBorders>
              <w:tl2br w:val="nil"/>
              <w:tr2bl w:val="nil"/>
            </w:tcBorders>
            <w:vAlign w:val="center"/>
          </w:tcPr>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唐征宇、黄天逸、吴俊锋、王智辛、成向华</w:t>
            </w:r>
          </w:p>
        </w:tc>
        <w:tc>
          <w:tcPr>
            <w:tcW w:w="1819" w:type="dxa"/>
            <w:gridSpan w:val="2"/>
            <w:tcBorders>
              <w:tl2br w:val="nil"/>
              <w:tr2bl w:val="nil"/>
            </w:tcBorders>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3"/>
            <w:tcBorders>
              <w:tl2br w:val="nil"/>
              <w:tr2bl w:val="nil"/>
            </w:tcBorders>
            <w:vAlign w:val="center"/>
          </w:tcPr>
          <w:p>
            <w:pPr>
              <w:spacing w:line="24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赖晗、</w:t>
            </w:r>
            <w:r>
              <w:rPr>
                <w:rFonts w:hint="eastAsia" w:ascii="仿宋" w:hAnsi="仿宋" w:eastAsia="仿宋" w:cs="仿宋"/>
                <w:color w:val="000000"/>
                <w:sz w:val="24"/>
                <w:szCs w:val="24"/>
              </w:rPr>
              <w:t>郑溦、李丞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tcBorders>
              <w:tl2br w:val="nil"/>
              <w:tr2bl w:val="nil"/>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4"/>
            <w:tcBorders>
              <w:tl2br w:val="nil"/>
              <w:tr2bl w:val="nil"/>
            </w:tcBorders>
            <w:vAlign w:val="center"/>
          </w:tcPr>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福建省广播影视集团</w:t>
            </w:r>
          </w:p>
        </w:tc>
        <w:tc>
          <w:tcPr>
            <w:tcW w:w="1819" w:type="dxa"/>
            <w:gridSpan w:val="2"/>
            <w:tcBorders>
              <w:tl2br w:val="nil"/>
              <w:tr2bl w:val="nil"/>
            </w:tcBorders>
            <w:vAlign w:val="center"/>
          </w:tcPr>
          <w:p>
            <w:pPr>
              <w:spacing w:line="260" w:lineRule="exact"/>
              <w:rPr>
                <w:rFonts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3"/>
            <w:tcBorders>
              <w:tl2br w:val="nil"/>
              <w:tr2bl w:val="nil"/>
            </w:tcBorders>
            <w:vAlign w:val="center"/>
          </w:tcPr>
          <w:p>
            <w:pPr>
              <w:spacing w:line="24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海博TV客户端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04" w:type="dxa"/>
            <w:gridSpan w:val="2"/>
            <w:tcBorders>
              <w:tl2br w:val="nil"/>
              <w:tr2bl w:val="nil"/>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17"/>
                <w:sz w:val="24"/>
                <w:szCs w:val="21"/>
              </w:rPr>
              <w:t>（</w:t>
            </w:r>
            <w:r>
              <w:rPr>
                <w:rFonts w:hint="eastAsia" w:ascii="华文中宋" w:hAnsi="华文中宋" w:eastAsia="华文中宋"/>
                <w:color w:val="000000"/>
                <w:spacing w:val="-17"/>
                <w:sz w:val="22"/>
                <w:szCs w:val="21"/>
              </w:rPr>
              <w:t>名称和版次）</w:t>
            </w:r>
          </w:p>
        </w:tc>
        <w:tc>
          <w:tcPr>
            <w:tcW w:w="3216" w:type="dxa"/>
            <w:gridSpan w:val="3"/>
            <w:tcBorders>
              <w:tl2br w:val="nil"/>
              <w:tr2bl w:val="nil"/>
            </w:tcBorders>
            <w:vAlign w:val="center"/>
          </w:tcPr>
          <w:p>
            <w:pPr>
              <w:spacing w:line="260" w:lineRule="exact"/>
              <w:rPr>
                <w:rFonts w:ascii="方正仿宋_GB2312" w:hAnsi="仿宋"/>
                <w:color w:val="000000"/>
                <w:szCs w:val="21"/>
              </w:rPr>
            </w:pPr>
          </w:p>
        </w:tc>
        <w:tc>
          <w:tcPr>
            <w:tcW w:w="872" w:type="dxa"/>
            <w:tcBorders>
              <w:tl2br w:val="nil"/>
              <w:tr2bl w:val="nil"/>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发布日期</w:t>
            </w:r>
          </w:p>
        </w:tc>
        <w:tc>
          <w:tcPr>
            <w:tcW w:w="4221" w:type="dxa"/>
            <w:gridSpan w:val="4"/>
            <w:tcBorders>
              <w:tl2br w:val="nil"/>
              <w:tr2bl w:val="nil"/>
            </w:tcBorders>
            <w:vAlign w:val="center"/>
          </w:tcPr>
          <w:p>
            <w:pPr>
              <w:spacing w:line="240" w:lineRule="exact"/>
              <w:jc w:val="center"/>
              <w:rPr>
                <w:rFonts w:ascii="方正仿宋_GB2312" w:hAnsi="仿宋"/>
                <w:color w:val="000000"/>
                <w:szCs w:val="21"/>
              </w:rPr>
            </w:pPr>
            <w:r>
              <w:rPr>
                <w:rFonts w:hint="eastAsia" w:ascii="仿宋" w:hAnsi="仿宋" w:eastAsia="仿宋" w:cs="仿宋"/>
                <w:color w:val="000000"/>
                <w:sz w:val="24"/>
                <w:szCs w:val="18"/>
              </w:rPr>
              <w:t>2025年6月19日10时13分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04" w:type="dxa"/>
            <w:gridSpan w:val="2"/>
            <w:tcBorders>
              <w:tl2br w:val="nil"/>
              <w:tr2bl w:val="nil"/>
            </w:tcBorders>
            <w:vAlign w:val="center"/>
          </w:tcPr>
          <w:p>
            <w:pPr>
              <w:spacing w:line="320" w:lineRule="exact"/>
              <w:jc w:val="center"/>
              <w:rPr>
                <w:rFonts w:ascii="华文中宋" w:hAnsi="华文中宋" w:eastAsia="华文中宋"/>
                <w:color w:val="000000"/>
                <w:sz w:val="24"/>
                <w:szCs w:val="21"/>
              </w:rPr>
            </w:pPr>
            <w:r>
              <w:rPr>
                <w:rFonts w:hint="eastAsia" w:ascii="华文中宋" w:hAnsi="华文中宋" w:eastAsia="华文中宋"/>
                <w:color w:val="000000"/>
                <w:sz w:val="24"/>
                <w:szCs w:val="21"/>
              </w:rPr>
              <w:t>新媒体</w:t>
            </w:r>
            <w:r>
              <w:rPr>
                <w:rFonts w:ascii="华文中宋" w:hAnsi="华文中宋" w:eastAsia="华文中宋"/>
                <w:color w:val="000000"/>
                <w:sz w:val="24"/>
                <w:szCs w:val="21"/>
              </w:rPr>
              <w:t>作品</w:t>
            </w:r>
          </w:p>
          <w:p>
            <w:pPr>
              <w:spacing w:line="320" w:lineRule="exact"/>
              <w:jc w:val="center"/>
              <w:rPr>
                <w:rFonts w:ascii="方正仿宋_GB2312" w:hAnsi="仿宋" w:eastAsia="华文中宋"/>
                <w:color w:val="000000"/>
                <w:szCs w:val="21"/>
              </w:rPr>
            </w:pPr>
            <w:r>
              <w:rPr>
                <w:rFonts w:hint="eastAsia" w:ascii="华文中宋" w:hAnsi="华文中宋" w:eastAsia="华文中宋"/>
                <w:color w:val="000000"/>
                <w:sz w:val="24"/>
                <w:szCs w:val="21"/>
              </w:rPr>
              <w:t>链接</w:t>
            </w:r>
          </w:p>
        </w:tc>
        <w:tc>
          <w:tcPr>
            <w:tcW w:w="5035" w:type="dxa"/>
            <w:gridSpan w:val="5"/>
            <w:tcBorders>
              <w:tl2br w:val="nil"/>
              <w:tr2bl w:val="nil"/>
            </w:tcBorders>
            <w:vAlign w:val="center"/>
          </w:tcPr>
          <w:p>
            <w:pPr>
              <w:spacing w:line="260" w:lineRule="exact"/>
              <w:jc w:val="left"/>
              <w:rPr>
                <w:rFonts w:ascii="华文中宋" w:hAnsi="华文中宋" w:eastAsia="华文中宋"/>
                <w:color w:val="000000"/>
                <w:sz w:val="28"/>
              </w:rPr>
            </w:pPr>
            <w:bookmarkStart w:id="2" w:name="OLE_LINK1"/>
            <w:bookmarkStart w:id="3" w:name="OLE_LINK2"/>
            <w:bookmarkStart w:id="4" w:name="OLE_LINK12"/>
            <w:r>
              <w:rPr>
                <w:rFonts w:hint="eastAsia" w:ascii="仿宋" w:hAnsi="仿宋" w:eastAsia="仿宋" w:cs="仿宋"/>
                <w:color w:val="000000"/>
                <w:sz w:val="24"/>
                <w:szCs w:val="18"/>
              </w:rPr>
              <w:t>https://www.fjtv.net/haibo4/haibo5/folder8620/folder8559/202</w:t>
            </w:r>
            <w:bookmarkStart w:id="20" w:name="_GoBack"/>
            <w:bookmarkEnd w:id="20"/>
            <w:r>
              <w:rPr>
                <w:rFonts w:hint="eastAsia" w:ascii="仿宋" w:hAnsi="仿宋" w:eastAsia="仿宋" w:cs="仿宋"/>
                <w:color w:val="000000"/>
                <w:sz w:val="24"/>
                <w:szCs w:val="18"/>
              </w:rPr>
              <w:t>5-06-19/6740530.html?_t=1750646546</w:t>
            </w:r>
            <w:bookmarkEnd w:id="2"/>
            <w:bookmarkEnd w:id="3"/>
            <w:bookmarkEnd w:id="4"/>
          </w:p>
        </w:tc>
        <w:tc>
          <w:tcPr>
            <w:tcW w:w="1742" w:type="dxa"/>
            <w:gridSpan w:val="2"/>
            <w:tcBorders>
              <w:tl2br w:val="nil"/>
              <w:tr2bl w:val="nil"/>
            </w:tcBorders>
            <w:vAlign w:val="center"/>
          </w:tcPr>
          <w:p>
            <w:pPr>
              <w:spacing w:line="32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是否为</w:t>
            </w:r>
          </w:p>
          <w:p>
            <w:pPr>
              <w:spacing w:line="320" w:lineRule="exact"/>
              <w:jc w:val="center"/>
              <w:rPr>
                <w:rFonts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pPr>
              <w:spacing w:line="260" w:lineRule="exact"/>
              <w:jc w:val="center"/>
              <w:rPr>
                <w:rFonts w:ascii="华文中宋" w:hAnsi="华文中宋" w:eastAsia="华文中宋"/>
                <w:color w:val="000000"/>
                <w:sz w:val="28"/>
              </w:rPr>
            </w:pPr>
            <w:r>
              <w:rPr>
                <w:rFonts w:hint="eastAsia" w:ascii="仿宋" w:hAnsi="仿宋" w:eastAsia="仿宋" w:cs="仿宋"/>
                <w:color w:val="000000"/>
                <w:sz w:val="24"/>
                <w:szCs w:val="18"/>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0" w:hRule="atLeast"/>
          <w:jc w:val="center"/>
        </w:trPr>
        <w:tc>
          <w:tcPr>
            <w:tcW w:w="992" w:type="dxa"/>
            <w:tcBorders>
              <w:tl2br w:val="nil"/>
              <w:tr2bl w:val="nil"/>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介</w:t>
            </w:r>
          </w:p>
        </w:tc>
        <w:tc>
          <w:tcPr>
            <w:tcW w:w="8821" w:type="dxa"/>
            <w:gridSpan w:val="9"/>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firstLine="456" w:firstLineChars="200"/>
              <w:textAlignment w:val="auto"/>
              <w:rPr>
                <w:rFonts w:hint="eastAsia" w:ascii="仿宋" w:hAnsi="仿宋" w:eastAsia="仿宋"/>
                <w:color w:val="000000"/>
                <w:w w:val="95"/>
                <w:sz w:val="24"/>
                <w:szCs w:val="24"/>
              </w:rPr>
            </w:pPr>
            <w:bookmarkStart w:id="5" w:name="OLE_LINK13"/>
            <w:bookmarkStart w:id="6" w:name="OLE_LINK5"/>
            <w:bookmarkStart w:id="7" w:name="OLE_LINK6"/>
            <w:r>
              <w:rPr>
                <w:rFonts w:hint="eastAsia" w:ascii="仿宋" w:hAnsi="仿宋" w:eastAsia="仿宋"/>
                <w:color w:val="000000"/>
                <w:w w:val="95"/>
                <w:sz w:val="24"/>
                <w:szCs w:val="24"/>
              </w:rPr>
              <w:t>作品被评为中宣部“三好作品”（好评论），获</w:t>
            </w:r>
            <w:bookmarkStart w:id="8" w:name="OLE_LINK8"/>
            <w:bookmarkStart w:id="9" w:name="OLE_LINK7"/>
            <w:r>
              <w:rPr>
                <w:rFonts w:hint="eastAsia" w:ascii="仿宋" w:hAnsi="仿宋" w:eastAsia="仿宋"/>
                <w:color w:val="000000"/>
                <w:w w:val="95"/>
                <w:sz w:val="24"/>
                <w:szCs w:val="24"/>
              </w:rPr>
              <w:t>中宣部《新闻阅评》</w:t>
            </w:r>
            <w:bookmarkEnd w:id="8"/>
            <w:bookmarkEnd w:id="9"/>
            <w:r>
              <w:rPr>
                <w:rFonts w:hint="eastAsia" w:ascii="仿宋" w:hAnsi="仿宋" w:eastAsia="仿宋"/>
                <w:color w:val="000000"/>
                <w:w w:val="95"/>
                <w:sz w:val="24"/>
                <w:szCs w:val="24"/>
              </w:rPr>
              <w:t>刊文肯定，并入选中国记协推出的</w:t>
            </w:r>
            <w:bookmarkStart w:id="10" w:name="OLE_LINK17"/>
            <w:bookmarkStart w:id="11" w:name="OLE_LINK18"/>
            <w:r>
              <w:rPr>
                <w:rFonts w:hint="eastAsia" w:ascii="仿宋" w:hAnsi="仿宋" w:eastAsia="仿宋"/>
                <w:color w:val="000000"/>
                <w:w w:val="95"/>
                <w:sz w:val="24"/>
                <w:szCs w:val="24"/>
              </w:rPr>
              <w:t>“接续奋进的中国”融创精品（地方媒体）十大案例</w:t>
            </w:r>
            <w:bookmarkEnd w:id="10"/>
            <w:bookmarkEnd w:id="11"/>
            <w:r>
              <w:rPr>
                <w:rFonts w:hint="eastAsia" w:ascii="仿宋" w:hAnsi="仿宋" w:eastAsia="仿宋"/>
                <w:color w:val="000000"/>
                <w:w w:val="95"/>
                <w:sz w:val="24"/>
                <w:szCs w:val="24"/>
              </w:rPr>
              <w:t>。</w:t>
            </w:r>
          </w:p>
          <w:p>
            <w:pPr>
              <w:keepNext w:val="0"/>
              <w:keepLines w:val="0"/>
              <w:pageBreakBefore w:val="0"/>
              <w:widowControl w:val="0"/>
              <w:kinsoku/>
              <w:wordWrap/>
              <w:overflowPunct/>
              <w:topLinePunct w:val="0"/>
              <w:autoSpaceDE/>
              <w:autoSpaceDN/>
              <w:bidi w:val="0"/>
              <w:adjustRightInd/>
              <w:snapToGrid/>
              <w:spacing w:line="300" w:lineRule="exact"/>
              <w:ind w:firstLine="456" w:firstLineChars="200"/>
              <w:textAlignment w:val="auto"/>
              <w:rPr>
                <w:rFonts w:ascii="仿宋" w:hAnsi="仿宋" w:eastAsia="仿宋"/>
                <w:color w:val="000000"/>
                <w:w w:val="95"/>
                <w:sz w:val="24"/>
                <w:szCs w:val="24"/>
              </w:rPr>
            </w:pPr>
            <w:r>
              <w:rPr>
                <w:rFonts w:hint="eastAsia" w:ascii="仿宋" w:hAnsi="仿宋" w:eastAsia="仿宋"/>
                <w:color w:val="000000"/>
                <w:w w:val="95"/>
                <w:sz w:val="24"/>
                <w:szCs w:val="24"/>
              </w:rPr>
              <w:t>2025年6月17日，中国国民党前主席马英九率台湾青年在福建宁德参访。主创团队敏锐捕捉下党乡和宁德时代这两个参访点蕴含的“从</w:t>
            </w:r>
            <w:r>
              <w:rPr>
                <w:rFonts w:hint="eastAsia" w:ascii="仿宋" w:hAnsi="仿宋" w:eastAsia="仿宋"/>
                <w:color w:val="000000"/>
                <w:w w:val="95"/>
                <w:sz w:val="24"/>
                <w:szCs w:val="24"/>
                <w:lang w:val="en-US" w:eastAsia="zh-CN"/>
              </w:rPr>
              <w:t>摆脱贫困到产业腾飞</w:t>
            </w:r>
            <w:r>
              <w:rPr>
                <w:rFonts w:hint="eastAsia" w:ascii="仿宋" w:hAnsi="仿宋" w:eastAsia="仿宋"/>
                <w:color w:val="000000"/>
                <w:w w:val="95"/>
                <w:sz w:val="24"/>
                <w:szCs w:val="24"/>
              </w:rPr>
              <w:t>”的深刻寓意，从“马英九率台青看中国共产党治国理政伟大成就”这一角度切入，</w:t>
            </w:r>
            <w:r>
              <w:rPr>
                <w:rFonts w:hint="eastAsia" w:ascii="仿宋" w:hAnsi="仿宋" w:eastAsia="仿宋"/>
                <w:color w:val="000000"/>
                <w:w w:val="95"/>
                <w:sz w:val="24"/>
                <w:szCs w:val="24"/>
                <w:lang w:val="en-US" w:eastAsia="zh-CN"/>
              </w:rPr>
              <w:t>紧跟参访行程，</w:t>
            </w:r>
            <w:r>
              <w:rPr>
                <w:rFonts w:hint="eastAsia" w:ascii="仿宋" w:hAnsi="仿宋" w:eastAsia="仿宋"/>
                <w:color w:val="000000"/>
                <w:w w:val="95"/>
                <w:sz w:val="24"/>
                <w:szCs w:val="24"/>
              </w:rPr>
              <w:t>实地展开评论。作品将下党乡脱贫攻坚的民生答卷与宁德时代技术腾飞的产业成就相结合，阐述民族复兴的</w:t>
            </w:r>
            <w:r>
              <w:rPr>
                <w:rFonts w:hint="eastAsia" w:ascii="仿宋" w:hAnsi="仿宋" w:eastAsia="仿宋"/>
                <w:color w:val="000000"/>
                <w:w w:val="95"/>
                <w:sz w:val="24"/>
                <w:szCs w:val="24"/>
                <w:lang w:val="en-US" w:eastAsia="zh-CN"/>
              </w:rPr>
              <w:t>时代</w:t>
            </w:r>
            <w:r>
              <w:rPr>
                <w:rFonts w:hint="eastAsia" w:ascii="仿宋" w:hAnsi="仿宋" w:eastAsia="仿宋"/>
                <w:color w:val="000000"/>
                <w:w w:val="95"/>
                <w:sz w:val="24"/>
                <w:szCs w:val="24"/>
              </w:rPr>
              <w:t>命题，向台湾青年清晰传递核心观点：面对加速前行的“复兴号列车”，台湾同胞无需纠结“要不要上车”，而应把握当下、顺势而为，“此时不上，更待何时”。</w:t>
            </w:r>
            <w:bookmarkEnd w:id="5"/>
            <w:bookmarkEnd w:id="6"/>
            <w:bookmarkEnd w:id="7"/>
          </w:p>
          <w:p>
            <w:pPr>
              <w:keepNext w:val="0"/>
              <w:keepLines w:val="0"/>
              <w:pageBreakBefore w:val="0"/>
              <w:widowControl w:val="0"/>
              <w:kinsoku/>
              <w:wordWrap/>
              <w:overflowPunct/>
              <w:topLinePunct w:val="0"/>
              <w:autoSpaceDE/>
              <w:autoSpaceDN/>
              <w:bidi w:val="0"/>
              <w:adjustRightInd/>
              <w:snapToGrid/>
              <w:spacing w:line="300" w:lineRule="exact"/>
              <w:ind w:firstLine="456" w:firstLineChars="200"/>
              <w:textAlignment w:val="auto"/>
              <w:rPr>
                <w:rFonts w:ascii="仿宋" w:hAnsi="仿宋" w:eastAsia="仿宋"/>
                <w:color w:val="000000"/>
                <w:w w:val="95"/>
                <w:sz w:val="21"/>
                <w:szCs w:val="21"/>
              </w:rPr>
            </w:pPr>
            <w:r>
              <w:rPr>
                <w:rFonts w:hint="eastAsia" w:ascii="仿宋" w:hAnsi="仿宋" w:eastAsia="仿宋"/>
                <w:color w:val="000000"/>
                <w:w w:val="95"/>
                <w:sz w:val="24"/>
                <w:szCs w:val="24"/>
              </w:rPr>
              <w:t>作品在海博TV客户端、华人头条客户端、微信视频号、抖音、快手等平台发布，引发两岸网友关于携手共促民族复兴的深刻思考。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9" w:hRule="atLeast"/>
          <w:jc w:val="center"/>
        </w:trPr>
        <w:tc>
          <w:tcPr>
            <w:tcW w:w="992" w:type="dxa"/>
            <w:vMerge w:val="restart"/>
            <w:tcBorders>
              <w:tl2br w:val="nil"/>
              <w:tr2bl w:val="nil"/>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400"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21" w:type="dxa"/>
            <w:gridSpan w:val="7"/>
            <w:tcBorders>
              <w:tl2br w:val="nil"/>
              <w:tr2bl w:val="nil"/>
            </w:tcBorders>
            <w:vAlign w:val="center"/>
          </w:tcPr>
          <w:p>
            <w:pPr>
              <w:spacing w:line="280" w:lineRule="exact"/>
              <w:jc w:val="left"/>
              <w:rPr>
                <w:rFonts w:ascii="仿宋" w:hAnsi="仿宋" w:eastAsia="仿宋"/>
                <w:color w:val="000000"/>
                <w:szCs w:val="21"/>
              </w:rPr>
            </w:pPr>
            <w:bookmarkStart w:id="12" w:name="OLE_LINK14"/>
            <w:bookmarkStart w:id="13" w:name="OLE_LINK16"/>
            <w:r>
              <w:rPr>
                <w:rFonts w:hint="eastAsia" w:ascii="仿宋" w:hAnsi="仿宋" w:eastAsia="仿宋" w:cs="仿宋"/>
                <w:color w:val="000000"/>
                <w:spacing w:val="-6"/>
                <w:sz w:val="24"/>
                <w:szCs w:val="24"/>
              </w:rPr>
              <w:t>https://www.fjtv.net/haibo4/haibo5/folder8620/folder8559/2025-06-19/6740530.html?_t=1750646546</w:t>
            </w:r>
            <w:bookmarkEnd w:id="12"/>
            <w:bookmarkEnd w:id="13"/>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0" w:hRule="atLeast"/>
          <w:jc w:val="center"/>
        </w:trPr>
        <w:tc>
          <w:tcPr>
            <w:tcW w:w="992" w:type="dxa"/>
            <w:vMerge w:val="continue"/>
            <w:tcBorders>
              <w:tl2br w:val="nil"/>
              <w:tr2bl w:val="nil"/>
            </w:tcBorders>
            <w:vAlign w:val="center"/>
          </w:tcPr>
          <w:p>
            <w:pPr>
              <w:spacing w:line="320" w:lineRule="exact"/>
              <w:jc w:val="center"/>
              <w:rPr>
                <w:rFonts w:ascii="华文中宋" w:hAnsi="华文中宋" w:eastAsia="华文中宋"/>
                <w:color w:val="000000"/>
                <w:sz w:val="28"/>
              </w:rPr>
            </w:pPr>
          </w:p>
        </w:tc>
        <w:tc>
          <w:tcPr>
            <w:tcW w:w="1400" w:type="dxa"/>
            <w:gridSpan w:val="2"/>
            <w:tcBorders>
              <w:tl2br w:val="nil"/>
              <w:tr2bl w:val="nil"/>
            </w:tcBorders>
            <w:shd w:val="clear" w:color="auto" w:fill="auto"/>
            <w:vAlign w:val="center"/>
          </w:tcPr>
          <w:p>
            <w:pPr>
              <w:spacing w:line="240" w:lineRule="exact"/>
              <w:jc w:val="center"/>
              <w:rPr>
                <w:rFonts w:ascii="楷体" w:hAnsi="楷体" w:eastAsia="楷体" w:cs="楷体"/>
                <w:b/>
                <w:bCs/>
                <w:color w:val="000000"/>
                <w:sz w:val="21"/>
                <w:szCs w:val="21"/>
              </w:rPr>
            </w:pPr>
            <w:r>
              <w:rPr>
                <w:rFonts w:hint="eastAsia" w:ascii="楷体" w:hAnsi="楷体" w:eastAsia="楷体" w:cs="楷体"/>
                <w:b/>
                <w:bCs/>
                <w:color w:val="000000"/>
                <w:sz w:val="21"/>
                <w:szCs w:val="21"/>
              </w:rPr>
              <w:t>该平台</w:t>
            </w:r>
          </w:p>
          <w:p>
            <w:pPr>
              <w:spacing w:line="240" w:lineRule="exact"/>
              <w:jc w:val="center"/>
              <w:rPr>
                <w:rFonts w:ascii="仿宋" w:hAnsi="仿宋" w:eastAsia="楷体"/>
                <w:color w:val="000000"/>
                <w:sz w:val="21"/>
                <w:szCs w:val="21"/>
              </w:rPr>
            </w:pPr>
            <w:r>
              <w:rPr>
                <w:rFonts w:hint="eastAsia" w:ascii="楷体" w:hAnsi="楷体" w:eastAsia="楷体" w:cs="楷体"/>
                <w:b/>
                <w:bCs/>
                <w:color w:val="000000"/>
                <w:sz w:val="21"/>
                <w:szCs w:val="21"/>
              </w:rPr>
              <w:t>传播量</w:t>
            </w:r>
          </w:p>
        </w:tc>
        <w:tc>
          <w:tcPr>
            <w:tcW w:w="1323" w:type="dxa"/>
            <w:tcBorders>
              <w:tl2br w:val="nil"/>
              <w:tr2bl w:val="nil"/>
            </w:tcBorders>
            <w:shd w:val="clear" w:color="auto" w:fill="auto"/>
            <w:vAlign w:val="center"/>
          </w:tcPr>
          <w:p>
            <w:pPr>
              <w:spacing w:line="240" w:lineRule="exact"/>
              <w:jc w:val="center"/>
              <w:rPr>
                <w:rFonts w:ascii="仿宋" w:hAnsi="仿宋" w:eastAsia="仿宋"/>
                <w:color w:val="000000"/>
                <w:sz w:val="21"/>
                <w:szCs w:val="21"/>
              </w:rPr>
            </w:pPr>
            <w:r>
              <w:rPr>
                <w:rFonts w:hint="eastAsia" w:ascii="仿宋" w:hAnsi="仿宋" w:eastAsia="仿宋"/>
                <w:color w:val="000000"/>
                <w:sz w:val="21"/>
                <w:szCs w:val="21"/>
              </w:rPr>
              <w:t>234万</w:t>
            </w:r>
          </w:p>
        </w:tc>
        <w:tc>
          <w:tcPr>
            <w:tcW w:w="1005" w:type="dxa"/>
            <w:tcBorders>
              <w:tl2br w:val="nil"/>
              <w:tr2bl w:val="nil"/>
            </w:tcBorders>
            <w:shd w:val="clear" w:color="auto" w:fill="auto"/>
            <w:vAlign w:val="center"/>
          </w:tcPr>
          <w:p>
            <w:pPr>
              <w:spacing w:line="240" w:lineRule="exact"/>
              <w:jc w:val="center"/>
              <w:rPr>
                <w:rFonts w:ascii="楷体" w:hAnsi="楷体" w:eastAsia="楷体" w:cs="楷体"/>
                <w:b/>
                <w:bCs/>
                <w:color w:val="000000"/>
                <w:sz w:val="21"/>
                <w:szCs w:val="21"/>
              </w:rPr>
            </w:pPr>
            <w:r>
              <w:rPr>
                <w:rFonts w:hint="eastAsia" w:ascii="楷体" w:hAnsi="楷体" w:eastAsia="楷体" w:cs="楷体"/>
                <w:b/>
                <w:bCs/>
                <w:color w:val="000000"/>
                <w:sz w:val="21"/>
                <w:szCs w:val="21"/>
              </w:rPr>
              <w:t>该平台</w:t>
            </w:r>
          </w:p>
          <w:p>
            <w:pPr>
              <w:spacing w:line="240" w:lineRule="exact"/>
              <w:jc w:val="center"/>
              <w:rPr>
                <w:rFonts w:ascii="仿宋" w:hAnsi="仿宋" w:eastAsia="仿宋"/>
                <w:color w:val="000000"/>
                <w:sz w:val="21"/>
                <w:szCs w:val="21"/>
              </w:rPr>
            </w:pPr>
            <w:r>
              <w:rPr>
                <w:rFonts w:hint="eastAsia" w:ascii="楷体" w:hAnsi="楷体" w:eastAsia="楷体" w:cs="楷体"/>
                <w:b/>
                <w:bCs/>
                <w:color w:val="000000"/>
                <w:sz w:val="21"/>
                <w:szCs w:val="21"/>
              </w:rPr>
              <w:t>互动量</w:t>
            </w:r>
          </w:p>
        </w:tc>
        <w:tc>
          <w:tcPr>
            <w:tcW w:w="2439" w:type="dxa"/>
            <w:gridSpan w:val="3"/>
            <w:tcBorders>
              <w:tl2br w:val="nil"/>
              <w:tr2bl w:val="nil"/>
            </w:tcBorders>
            <w:vAlign w:val="center"/>
          </w:tcPr>
          <w:p>
            <w:pPr>
              <w:spacing w:line="240" w:lineRule="exact"/>
              <w:jc w:val="center"/>
              <w:rPr>
                <w:rFonts w:ascii="仿宋" w:hAnsi="仿宋" w:eastAsia="仿宋"/>
                <w:color w:val="000000"/>
                <w:sz w:val="21"/>
                <w:szCs w:val="21"/>
              </w:rPr>
            </w:pPr>
            <w:r>
              <w:rPr>
                <w:rFonts w:hint="eastAsia" w:ascii="仿宋" w:hAnsi="仿宋" w:eastAsia="仿宋"/>
                <w:color w:val="000000"/>
                <w:sz w:val="21"/>
                <w:szCs w:val="21"/>
              </w:rPr>
              <w:t>7523</w:t>
            </w:r>
          </w:p>
        </w:tc>
        <w:tc>
          <w:tcPr>
            <w:tcW w:w="1122" w:type="dxa"/>
            <w:tcBorders>
              <w:tl2br w:val="nil"/>
              <w:tr2bl w:val="nil"/>
            </w:tcBorders>
            <w:vAlign w:val="center"/>
          </w:tcPr>
          <w:p>
            <w:pPr>
              <w:spacing w:line="240" w:lineRule="exact"/>
              <w:rPr>
                <w:rFonts w:ascii="仿宋" w:hAnsi="仿宋" w:eastAsia="仿宋"/>
                <w:color w:val="000000"/>
                <w:sz w:val="21"/>
                <w:szCs w:val="21"/>
              </w:rPr>
            </w:pPr>
            <w:r>
              <w:rPr>
                <w:rFonts w:hint="eastAsia" w:ascii="楷体" w:hAnsi="楷体" w:eastAsia="楷体" w:cs="楷体"/>
                <w:b/>
                <w:bCs/>
                <w:color w:val="000000"/>
                <w:sz w:val="21"/>
                <w:szCs w:val="21"/>
              </w:rPr>
              <w:t>全网总传播量（万）</w:t>
            </w:r>
          </w:p>
        </w:tc>
        <w:tc>
          <w:tcPr>
            <w:tcW w:w="1532" w:type="dxa"/>
            <w:tcBorders>
              <w:tl2br w:val="nil"/>
              <w:tr2bl w:val="nil"/>
            </w:tcBorders>
            <w:vAlign w:val="center"/>
          </w:tcPr>
          <w:p>
            <w:pPr>
              <w:spacing w:line="240" w:lineRule="exact"/>
              <w:jc w:val="center"/>
              <w:rPr>
                <w:rFonts w:hint="default" w:ascii="仿宋" w:hAnsi="仿宋" w:eastAsia="仿宋"/>
                <w:color w:val="000000"/>
                <w:sz w:val="21"/>
                <w:szCs w:val="21"/>
                <w:lang w:val="en-US" w:eastAsia="zh-CN"/>
              </w:rPr>
            </w:pPr>
            <w:r>
              <w:rPr>
                <w:rFonts w:hint="eastAsia" w:ascii="仿宋" w:hAnsi="仿宋" w:eastAsia="仿宋"/>
                <w:color w:val="000000"/>
                <w:sz w:val="21"/>
                <w:szCs w:val="21"/>
              </w:rPr>
              <w:t>5</w:t>
            </w:r>
            <w:r>
              <w:rPr>
                <w:rFonts w:hint="eastAsia" w:ascii="仿宋" w:hAnsi="仿宋" w:eastAsia="仿宋"/>
                <w:color w:val="000000"/>
                <w:sz w:val="21"/>
                <w:szCs w:val="21"/>
                <w:lang w:val="en-US" w:eastAsia="zh-CN"/>
              </w:rPr>
              <w:t>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11" w:hRule="atLeast"/>
          <w:jc w:val="center"/>
        </w:trPr>
        <w:tc>
          <w:tcPr>
            <w:tcW w:w="992" w:type="dxa"/>
            <w:tcBorders>
              <w:tl2br w:val="nil"/>
              <w:tr2bl w:val="nil"/>
            </w:tcBorders>
            <w:vAlign w:val="center"/>
          </w:tcPr>
          <w:p>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pPr>
              <w:spacing w:line="320" w:lineRule="exact"/>
              <w:jc w:val="center"/>
              <w:rPr>
                <w:rFonts w:ascii="华文中宋" w:hAnsi="华文中宋" w:eastAsia="华文中宋"/>
                <w:sz w:val="28"/>
              </w:rPr>
            </w:pPr>
            <w:r>
              <w:rPr>
                <w:rFonts w:hint="eastAsia" w:ascii="华文中宋" w:hAnsi="华文中宋" w:eastAsia="华文中宋"/>
                <w:sz w:val="28"/>
              </w:rPr>
              <w:t>初推</w:t>
            </w:r>
          </w:p>
          <w:p>
            <w:pPr>
              <w:spacing w:line="320" w:lineRule="exact"/>
              <w:jc w:val="center"/>
              <w:rPr>
                <w:rFonts w:ascii="华文中宋" w:hAnsi="华文中宋" w:eastAsia="华文中宋"/>
                <w:sz w:val="28"/>
              </w:rPr>
            </w:pPr>
            <w:r>
              <w:rPr>
                <w:rFonts w:hint="eastAsia" w:ascii="华文中宋" w:hAnsi="华文中宋" w:eastAsia="华文中宋"/>
                <w:sz w:val="28"/>
              </w:rPr>
              <w:t>评荐</w:t>
            </w:r>
          </w:p>
          <w:p>
            <w:pPr>
              <w:spacing w:line="320" w:lineRule="exact"/>
              <w:jc w:val="center"/>
              <w:rPr>
                <w:rFonts w:ascii="华文中宋" w:hAnsi="华文中宋" w:eastAsia="华文中宋"/>
                <w:sz w:val="28"/>
              </w:rPr>
            </w:pPr>
            <w:r>
              <w:rPr>
                <w:rFonts w:hint="eastAsia" w:ascii="华文中宋" w:hAnsi="华文中宋" w:eastAsia="华文中宋"/>
                <w:sz w:val="28"/>
              </w:rPr>
              <w:t>评理</w:t>
            </w:r>
          </w:p>
          <w:p>
            <w:pPr>
              <w:spacing w:line="320" w:lineRule="exact"/>
              <w:jc w:val="center"/>
              <w:rPr>
                <w:rFonts w:ascii="华文中宋" w:hAnsi="华文中宋" w:eastAsia="华文中宋"/>
                <w:sz w:val="28"/>
              </w:rPr>
            </w:pPr>
            <w:r>
              <w:rPr>
                <w:rFonts w:hint="eastAsia" w:ascii="华文中宋" w:hAnsi="华文中宋" w:eastAsia="华文中宋"/>
                <w:sz w:val="28"/>
              </w:rPr>
              <w:t>语由</w:t>
            </w:r>
          </w:p>
          <w:p>
            <w:pPr>
              <w:spacing w:line="240" w:lineRule="exact"/>
              <w:jc w:val="center"/>
              <w:rPr>
                <w:rFonts w:ascii="华文中宋" w:hAnsi="华文中宋" w:eastAsia="华文中宋"/>
                <w:color w:val="000000"/>
                <w:sz w:val="28"/>
              </w:rPr>
            </w:pPr>
            <w:r>
              <w:rPr>
                <w:rFonts w:hint="eastAsia" w:ascii="华文中宋" w:hAnsi="华文中宋" w:eastAsia="华文中宋"/>
                <w:sz w:val="28"/>
              </w:rPr>
              <w:t>︶</w:t>
            </w:r>
          </w:p>
        </w:tc>
        <w:tc>
          <w:tcPr>
            <w:tcW w:w="8821" w:type="dxa"/>
            <w:gridSpan w:val="9"/>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firstLine="456" w:firstLineChars="200"/>
              <w:textAlignment w:val="auto"/>
              <w:rPr>
                <w:rFonts w:hint="eastAsia" w:ascii="仿宋" w:hAnsi="仿宋" w:eastAsia="仿宋"/>
                <w:color w:val="000000"/>
                <w:w w:val="95"/>
                <w:sz w:val="24"/>
                <w:szCs w:val="24"/>
              </w:rPr>
            </w:pPr>
            <w:bookmarkStart w:id="14" w:name="OLE_LINK15"/>
            <w:bookmarkStart w:id="15" w:name="OLE_LINK10"/>
            <w:bookmarkStart w:id="16" w:name="OLE_LINK9"/>
            <w:bookmarkStart w:id="17" w:name="OLE_LINK11"/>
            <w:r>
              <w:rPr>
                <w:rFonts w:hint="eastAsia" w:ascii="仿宋" w:hAnsi="仿宋" w:eastAsia="仿宋"/>
                <w:color w:val="000000"/>
                <w:w w:val="95"/>
                <w:sz w:val="24"/>
                <w:szCs w:val="24"/>
              </w:rPr>
              <w:t>主创团队敏锐</w:t>
            </w:r>
            <w:r>
              <w:rPr>
                <w:rFonts w:hint="eastAsia" w:ascii="仿宋" w:hAnsi="仿宋" w:eastAsia="仿宋"/>
                <w:color w:val="000000"/>
                <w:w w:val="95"/>
                <w:sz w:val="24"/>
                <w:szCs w:val="24"/>
                <w:lang w:val="en-US" w:eastAsia="zh-CN"/>
              </w:rPr>
              <w:t>发现</w:t>
            </w:r>
            <w:r>
              <w:rPr>
                <w:rFonts w:hint="eastAsia" w:ascii="仿宋" w:hAnsi="仿宋" w:eastAsia="仿宋"/>
                <w:color w:val="000000"/>
                <w:w w:val="95"/>
                <w:sz w:val="24"/>
                <w:szCs w:val="24"/>
              </w:rPr>
              <w:t>马英九一行</w:t>
            </w:r>
            <w:r>
              <w:rPr>
                <w:rFonts w:hint="eastAsia" w:ascii="仿宋" w:hAnsi="仿宋" w:eastAsia="仿宋"/>
                <w:color w:val="000000"/>
                <w:w w:val="95"/>
                <w:sz w:val="24"/>
                <w:szCs w:val="24"/>
                <w:lang w:val="en-US" w:eastAsia="zh-CN"/>
              </w:rPr>
              <w:t>在福建宁德参访</w:t>
            </w:r>
            <w:r>
              <w:rPr>
                <w:rFonts w:hint="eastAsia" w:ascii="仿宋" w:hAnsi="仿宋" w:eastAsia="仿宋"/>
                <w:color w:val="000000"/>
                <w:w w:val="95"/>
                <w:sz w:val="24"/>
                <w:szCs w:val="24"/>
              </w:rPr>
              <w:t>的</w:t>
            </w:r>
            <w:r>
              <w:rPr>
                <w:rFonts w:hint="eastAsia" w:ascii="仿宋" w:hAnsi="仿宋" w:eastAsia="仿宋"/>
                <w:color w:val="000000"/>
                <w:w w:val="95"/>
                <w:sz w:val="24"/>
                <w:szCs w:val="24"/>
                <w:lang w:val="en-US" w:eastAsia="zh-CN"/>
              </w:rPr>
              <w:t>重大意义</w:t>
            </w:r>
            <w:r>
              <w:rPr>
                <w:rFonts w:hint="eastAsia" w:ascii="仿宋" w:hAnsi="仿宋" w:eastAsia="仿宋"/>
                <w:color w:val="000000"/>
                <w:w w:val="95"/>
                <w:sz w:val="24"/>
                <w:szCs w:val="24"/>
              </w:rPr>
              <w:t>，</w:t>
            </w:r>
            <w:bookmarkStart w:id="18" w:name="OLE_LINK20"/>
            <w:bookmarkStart w:id="19" w:name="OLE_LINK19"/>
            <w:r>
              <w:rPr>
                <w:rFonts w:hint="eastAsia" w:ascii="仿宋" w:hAnsi="仿宋" w:eastAsia="仿宋"/>
                <w:color w:val="000000"/>
                <w:w w:val="95"/>
                <w:sz w:val="24"/>
                <w:szCs w:val="24"/>
              </w:rPr>
              <w:t>即：</w:t>
            </w:r>
            <w:bookmarkEnd w:id="18"/>
            <w:bookmarkEnd w:id="19"/>
            <w:r>
              <w:rPr>
                <w:rFonts w:hint="eastAsia" w:ascii="仿宋" w:hAnsi="仿宋" w:eastAsia="仿宋"/>
                <w:color w:val="000000"/>
                <w:w w:val="95"/>
                <w:sz w:val="24"/>
                <w:szCs w:val="24"/>
                <w:lang w:val="en-US" w:eastAsia="zh-CN"/>
              </w:rPr>
              <w:t>台湾同胞通过走访下党乡和宁德时代，实地感受大陆发展变迁</w:t>
            </w:r>
            <w:r>
              <w:rPr>
                <w:rFonts w:hint="eastAsia" w:ascii="仿宋" w:hAnsi="仿宋" w:eastAsia="仿宋"/>
                <w:color w:val="000000"/>
                <w:w w:val="95"/>
                <w:sz w:val="24"/>
                <w:szCs w:val="24"/>
                <w:lang w:eastAsia="zh-CN"/>
              </w:rPr>
              <w:t>，</w:t>
            </w:r>
            <w:r>
              <w:rPr>
                <w:rFonts w:hint="eastAsia" w:ascii="仿宋" w:hAnsi="仿宋" w:eastAsia="仿宋"/>
                <w:color w:val="000000"/>
                <w:w w:val="95"/>
                <w:sz w:val="24"/>
                <w:szCs w:val="24"/>
                <w:lang w:val="en-US" w:eastAsia="zh-CN"/>
              </w:rPr>
              <w:t>亲眼见证</w:t>
            </w:r>
            <w:r>
              <w:rPr>
                <w:rFonts w:hint="eastAsia" w:ascii="仿宋" w:hAnsi="仿宋" w:eastAsia="仿宋"/>
                <w:color w:val="000000"/>
                <w:w w:val="95"/>
                <w:sz w:val="24"/>
                <w:szCs w:val="24"/>
              </w:rPr>
              <w:t>中国共产党治国理政的伟大成就。</w:t>
            </w:r>
          </w:p>
          <w:p>
            <w:pPr>
              <w:keepNext w:val="0"/>
              <w:keepLines w:val="0"/>
              <w:pageBreakBefore w:val="0"/>
              <w:widowControl w:val="0"/>
              <w:kinsoku/>
              <w:wordWrap/>
              <w:overflowPunct/>
              <w:topLinePunct w:val="0"/>
              <w:autoSpaceDE/>
              <w:autoSpaceDN/>
              <w:bidi w:val="0"/>
              <w:adjustRightInd/>
              <w:snapToGrid/>
              <w:spacing w:line="300" w:lineRule="exact"/>
              <w:ind w:firstLine="456" w:firstLineChars="200"/>
              <w:textAlignment w:val="auto"/>
              <w:rPr>
                <w:rFonts w:hint="eastAsia" w:ascii="仿宋" w:hAnsi="仿宋" w:eastAsia="仿宋"/>
                <w:color w:val="000000"/>
                <w:w w:val="95"/>
                <w:sz w:val="24"/>
                <w:szCs w:val="24"/>
              </w:rPr>
            </w:pPr>
            <w:r>
              <w:rPr>
                <w:rFonts w:hint="eastAsia" w:ascii="仿宋" w:hAnsi="仿宋" w:eastAsia="仿宋"/>
                <w:color w:val="000000"/>
                <w:w w:val="95"/>
                <w:sz w:val="24"/>
                <w:szCs w:val="24"/>
              </w:rPr>
              <w:t>作品</w:t>
            </w:r>
            <w:r>
              <w:rPr>
                <w:rFonts w:hint="eastAsia" w:ascii="仿宋" w:hAnsi="仿宋" w:eastAsia="仿宋"/>
                <w:color w:val="000000"/>
                <w:w w:val="95"/>
                <w:sz w:val="24"/>
                <w:szCs w:val="24"/>
                <w:lang w:val="en-US" w:eastAsia="zh-CN"/>
              </w:rPr>
              <w:t>以</w:t>
            </w:r>
            <w:r>
              <w:rPr>
                <w:rFonts w:hint="eastAsia" w:ascii="仿宋" w:hAnsi="仿宋" w:eastAsia="仿宋"/>
                <w:color w:val="000000"/>
                <w:w w:val="95"/>
                <w:sz w:val="24"/>
                <w:szCs w:val="24"/>
                <w:lang w:eastAsia="zh-CN"/>
              </w:rPr>
              <w:t>“</w:t>
            </w:r>
            <w:r>
              <w:rPr>
                <w:rFonts w:hint="eastAsia" w:ascii="仿宋" w:hAnsi="仿宋" w:eastAsia="仿宋"/>
                <w:color w:val="000000"/>
                <w:w w:val="95"/>
                <w:sz w:val="24"/>
                <w:szCs w:val="24"/>
              </w:rPr>
              <w:t>百年前中国求福特技术支持遭拒，百年后福特汽车公司主动向宁德时代寻求技术合作</w:t>
            </w:r>
            <w:r>
              <w:rPr>
                <w:rFonts w:hint="eastAsia" w:ascii="仿宋" w:hAnsi="仿宋" w:eastAsia="仿宋"/>
                <w:color w:val="000000"/>
                <w:w w:val="95"/>
                <w:sz w:val="24"/>
                <w:szCs w:val="24"/>
                <w:lang w:eastAsia="zh-CN"/>
              </w:rPr>
              <w:t>”</w:t>
            </w:r>
            <w:r>
              <w:rPr>
                <w:rFonts w:hint="eastAsia" w:ascii="仿宋" w:hAnsi="仿宋" w:eastAsia="仿宋"/>
                <w:color w:val="000000"/>
                <w:w w:val="95"/>
                <w:sz w:val="24"/>
                <w:szCs w:val="24"/>
                <w:lang w:val="en-US" w:eastAsia="zh-CN"/>
              </w:rPr>
              <w:t>这一戏剧性的翻转</w:t>
            </w:r>
            <w:r>
              <w:rPr>
                <w:rFonts w:hint="eastAsia" w:ascii="仿宋" w:hAnsi="仿宋" w:eastAsia="仿宋"/>
                <w:color w:val="000000"/>
                <w:w w:val="95"/>
                <w:sz w:val="24"/>
                <w:szCs w:val="24"/>
              </w:rPr>
              <w:t>为独特破题点，</w:t>
            </w:r>
            <w:r>
              <w:rPr>
                <w:rFonts w:hint="eastAsia" w:ascii="仿宋" w:hAnsi="仿宋" w:eastAsia="仿宋"/>
                <w:color w:val="000000"/>
                <w:w w:val="95"/>
                <w:sz w:val="24"/>
                <w:szCs w:val="24"/>
                <w:lang w:val="en-US" w:eastAsia="zh-CN"/>
              </w:rPr>
              <w:t>通过多个</w:t>
            </w:r>
            <w:r>
              <w:rPr>
                <w:rFonts w:hint="eastAsia" w:ascii="仿宋" w:hAnsi="仿宋" w:eastAsia="仿宋"/>
                <w:color w:val="000000"/>
                <w:w w:val="95"/>
                <w:sz w:val="24"/>
                <w:szCs w:val="24"/>
              </w:rPr>
              <w:t>具象场景支撑民族复兴的</w:t>
            </w:r>
            <w:r>
              <w:rPr>
                <w:rFonts w:hint="eastAsia" w:ascii="仿宋" w:hAnsi="仿宋" w:eastAsia="仿宋"/>
                <w:color w:val="000000"/>
                <w:w w:val="95"/>
                <w:sz w:val="24"/>
                <w:szCs w:val="24"/>
                <w:lang w:val="en-US" w:eastAsia="zh-CN"/>
              </w:rPr>
              <w:t>时代</w:t>
            </w:r>
            <w:r>
              <w:rPr>
                <w:rFonts w:hint="eastAsia" w:ascii="仿宋" w:hAnsi="仿宋" w:eastAsia="仿宋"/>
                <w:color w:val="000000"/>
                <w:w w:val="95"/>
                <w:sz w:val="24"/>
                <w:szCs w:val="24"/>
              </w:rPr>
              <w:t>命题</w:t>
            </w:r>
            <w:r>
              <w:rPr>
                <w:rFonts w:hint="eastAsia" w:ascii="仿宋" w:hAnsi="仿宋" w:eastAsia="仿宋"/>
                <w:color w:val="000000"/>
                <w:w w:val="95"/>
                <w:sz w:val="24"/>
                <w:szCs w:val="24"/>
                <w:lang w:eastAsia="zh-CN"/>
              </w:rPr>
              <w:t>，</w:t>
            </w:r>
            <w:r>
              <w:rPr>
                <w:rFonts w:hint="eastAsia" w:ascii="仿宋" w:hAnsi="仿宋" w:eastAsia="仿宋"/>
                <w:color w:val="000000"/>
                <w:w w:val="95"/>
                <w:sz w:val="24"/>
                <w:szCs w:val="24"/>
              </w:rPr>
              <w:t>着力引导</w:t>
            </w:r>
            <w:r>
              <w:rPr>
                <w:rFonts w:hint="eastAsia" w:ascii="仿宋" w:hAnsi="仿宋" w:eastAsia="仿宋"/>
                <w:color w:val="000000"/>
                <w:w w:val="95"/>
                <w:sz w:val="24"/>
                <w:szCs w:val="24"/>
                <w:lang w:val="en-US" w:eastAsia="zh-CN"/>
              </w:rPr>
              <w:t>台湾同胞</w:t>
            </w:r>
            <w:r>
              <w:rPr>
                <w:rFonts w:hint="eastAsia" w:ascii="仿宋" w:hAnsi="仿宋" w:eastAsia="仿宋"/>
                <w:color w:val="000000"/>
                <w:w w:val="95"/>
                <w:sz w:val="24"/>
                <w:szCs w:val="24"/>
              </w:rPr>
              <w:t>突破“信息茧房”、看清历史大势</w:t>
            </w:r>
            <w:r>
              <w:rPr>
                <w:rFonts w:hint="eastAsia" w:ascii="仿宋" w:hAnsi="仿宋" w:eastAsia="仿宋"/>
                <w:color w:val="000000"/>
                <w:w w:val="95"/>
                <w:sz w:val="24"/>
                <w:szCs w:val="24"/>
                <w:lang w:eastAsia="zh-CN"/>
              </w:rPr>
              <w:t>、</w:t>
            </w:r>
            <w:r>
              <w:rPr>
                <w:rFonts w:hint="eastAsia" w:ascii="仿宋" w:hAnsi="仿宋" w:eastAsia="仿宋"/>
                <w:color w:val="000000"/>
                <w:w w:val="95"/>
                <w:sz w:val="24"/>
                <w:szCs w:val="24"/>
              </w:rPr>
              <w:t>共促民族复兴。</w:t>
            </w:r>
          </w:p>
          <w:p>
            <w:pPr>
              <w:keepNext w:val="0"/>
              <w:keepLines w:val="0"/>
              <w:pageBreakBefore w:val="0"/>
              <w:widowControl w:val="0"/>
              <w:kinsoku/>
              <w:wordWrap/>
              <w:overflowPunct/>
              <w:topLinePunct w:val="0"/>
              <w:autoSpaceDE/>
              <w:autoSpaceDN/>
              <w:bidi w:val="0"/>
              <w:adjustRightInd/>
              <w:snapToGrid/>
              <w:spacing w:line="300" w:lineRule="exact"/>
              <w:ind w:firstLine="456" w:firstLineChars="200"/>
              <w:textAlignment w:val="auto"/>
              <w:rPr>
                <w:rFonts w:hint="eastAsia" w:ascii="仿宋" w:hAnsi="仿宋" w:eastAsia="仿宋"/>
                <w:color w:val="000000"/>
                <w:w w:val="95"/>
                <w:sz w:val="24"/>
                <w:szCs w:val="24"/>
              </w:rPr>
            </w:pPr>
            <w:r>
              <w:rPr>
                <w:rFonts w:hint="eastAsia" w:ascii="仿宋" w:hAnsi="仿宋" w:eastAsia="仿宋"/>
                <w:color w:val="000000"/>
                <w:w w:val="95"/>
                <w:sz w:val="24"/>
                <w:szCs w:val="24"/>
              </w:rPr>
              <w:t>作品立意高远</w:t>
            </w:r>
            <w:r>
              <w:rPr>
                <w:rFonts w:hint="eastAsia" w:ascii="仿宋" w:hAnsi="仿宋" w:eastAsia="仿宋"/>
                <w:color w:val="000000"/>
                <w:w w:val="95"/>
                <w:sz w:val="24"/>
                <w:szCs w:val="24"/>
                <w:lang w:eastAsia="zh-CN"/>
              </w:rPr>
              <w:t>、</w:t>
            </w:r>
            <w:r>
              <w:rPr>
                <w:rFonts w:hint="eastAsia" w:ascii="仿宋" w:hAnsi="仿宋" w:eastAsia="仿宋"/>
                <w:color w:val="000000"/>
                <w:w w:val="95"/>
                <w:sz w:val="24"/>
                <w:szCs w:val="24"/>
              </w:rPr>
              <w:t>论据扎实、论证严密、观点有力，是具有</w:t>
            </w:r>
            <w:r>
              <w:rPr>
                <w:rFonts w:hint="eastAsia" w:ascii="仿宋" w:hAnsi="仿宋" w:eastAsia="仿宋"/>
                <w:color w:val="000000"/>
                <w:w w:val="95"/>
                <w:sz w:val="24"/>
                <w:szCs w:val="24"/>
                <w:lang w:val="en-US" w:eastAsia="zh-CN"/>
              </w:rPr>
              <w:t>鲜明</w:t>
            </w:r>
            <w:r>
              <w:rPr>
                <w:rFonts w:hint="eastAsia" w:ascii="仿宋" w:hAnsi="仿宋" w:eastAsia="仿宋"/>
                <w:color w:val="000000"/>
                <w:w w:val="95"/>
                <w:sz w:val="24"/>
                <w:szCs w:val="24"/>
              </w:rPr>
              <w:t>时代价值的评论佳作。</w:t>
            </w:r>
          </w:p>
          <w:bookmarkEnd w:id="14"/>
          <w:bookmarkEnd w:id="15"/>
          <w:bookmarkEnd w:id="16"/>
          <w:bookmarkEnd w:id="17"/>
          <w:p>
            <w:pPr>
              <w:spacing w:line="360" w:lineRule="exact"/>
              <w:rPr>
                <w:rFonts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pPr>
              <w:ind w:firstLine="5880" w:firstLineChars="2100"/>
              <w:rPr>
                <w:rFonts w:ascii="仿宋" w:hAnsi="仿宋" w:eastAsia="仿宋"/>
                <w:color w:val="000000"/>
                <w:szCs w:val="21"/>
              </w:rPr>
            </w:pPr>
            <w:r>
              <w:rPr>
                <w:rFonts w:ascii="华文中宋" w:hAnsi="华文中宋" w:eastAsia="华文中宋"/>
                <w:color w:val="000000"/>
                <w:sz w:val="28"/>
              </w:rPr>
              <w:t xml:space="preserve">年  </w:t>
            </w:r>
            <w:r>
              <w:rPr>
                <w:rFonts w:hint="eastAsia" w:ascii="华文中宋" w:hAnsi="华文中宋" w:eastAsia="华文中宋"/>
                <w:color w:val="000000"/>
                <w:sz w:val="28"/>
                <w:lang w:val="en-US" w:eastAsia="zh-CN"/>
              </w:rPr>
              <w:t xml:space="preserve">  </w:t>
            </w:r>
            <w:r>
              <w:rPr>
                <w:rFonts w:hint="eastAsia" w:ascii="华文中宋" w:hAnsi="华文中宋" w:eastAsia="华文中宋"/>
                <w:color w:val="000000"/>
                <w:sz w:val="28"/>
              </w:rPr>
              <w:t xml:space="preserve">月  </w:t>
            </w:r>
            <w:r>
              <w:rPr>
                <w:rFonts w:hint="eastAsia" w:ascii="华文中宋" w:hAnsi="华文中宋" w:eastAsia="华文中宋"/>
                <w:color w:val="000000"/>
                <w:sz w:val="28"/>
                <w:lang w:val="en-US" w:eastAsia="zh-CN"/>
              </w:rPr>
              <w:t xml:space="preserve">  </w:t>
            </w:r>
            <w:r>
              <w:rPr>
                <w:rFonts w:hint="eastAsia" w:ascii="华文中宋" w:hAnsi="华文中宋" w:eastAsia="华文中宋"/>
                <w:color w:val="000000"/>
                <w:sz w:val="28"/>
              </w:rPr>
              <w:t>日</w:t>
            </w:r>
          </w:p>
        </w:tc>
      </w:tr>
    </w:tbl>
    <w:p>
      <w:pPr>
        <w:keepNext w:val="0"/>
        <w:keepLines w:val="0"/>
        <w:pageBreakBefore w:val="0"/>
        <w:widowControl w:val="0"/>
        <w:kinsoku/>
        <w:wordWrap/>
        <w:overflowPunct/>
        <w:topLinePunct w:val="0"/>
        <w:autoSpaceDE/>
        <w:autoSpaceDN/>
        <w:bidi w:val="0"/>
        <w:adjustRightInd/>
        <w:snapToGrid/>
        <w:spacing w:line="20" w:lineRule="exact"/>
        <w:textAlignment w:val="auto"/>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Droid Sans Fallbac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Droid Sans Fallback">
    <w:panose1 w:val="020B0502000000000001"/>
    <w:charset w:val="86"/>
    <w:family w:val="auto"/>
    <w:pitch w:val="default"/>
    <w:sig w:usb0="910002FF" w:usb1="2BDFFCFB" w:usb2="00000036" w:usb3="00000000" w:csb0="203F01FF" w:csb1="D7FF0000"/>
  </w:font>
  <w:font w:name="方正仿宋_GB2312">
    <w:altName w:val="仿宋"/>
    <w:panose1 w:val="00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华文中宋">
    <w:altName w:val="Droid Sans Fallback"/>
    <w:panose1 w:val="02010600040101010101"/>
    <w:charset w:val="86"/>
    <w:family w:val="auto"/>
    <w:pitch w:val="default"/>
    <w:sig w:usb0="00000000" w:usb1="00000000" w:usb2="00000000" w:usb3="00000000" w:csb0="0004009F" w:csb1="DFD70000"/>
  </w:font>
  <w:font w:name="楷体">
    <w:altName w:val="Droid Sans Fallback"/>
    <w:panose1 w:val="02010609060101010101"/>
    <w:charset w:val="86"/>
    <w:family w:val="modern"/>
    <w:pitch w:val="default"/>
    <w:sig w:usb0="00000000" w:usb1="00000000" w:usb2="00000016" w:usb3="00000000" w:csb0="00040001" w:csb1="00000000"/>
  </w:font>
  <w:font w:name="MathJax_Vector">
    <w:panose1 w:val="02000603000000000000"/>
    <w:charset w:val="00"/>
    <w:family w:val="auto"/>
    <w:pitch w:val="default"/>
    <w:sig w:usb0="00000001" w:usb1="0000002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0" w:line="320" w:lineRule="exact"/>
      <w:ind w:firstLine="602"/>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856"/>
    <w:rsid w:val="00013D32"/>
    <w:rsid w:val="00044EF2"/>
    <w:rsid w:val="00090A42"/>
    <w:rsid w:val="000B20C9"/>
    <w:rsid w:val="000B3372"/>
    <w:rsid w:val="000D402F"/>
    <w:rsid w:val="000F7E8A"/>
    <w:rsid w:val="001F7586"/>
    <w:rsid w:val="00224559"/>
    <w:rsid w:val="00256339"/>
    <w:rsid w:val="00272C38"/>
    <w:rsid w:val="002E1D38"/>
    <w:rsid w:val="002E55A4"/>
    <w:rsid w:val="002F3DDE"/>
    <w:rsid w:val="00322003"/>
    <w:rsid w:val="0035129E"/>
    <w:rsid w:val="00351550"/>
    <w:rsid w:val="00353E66"/>
    <w:rsid w:val="00386856"/>
    <w:rsid w:val="003A2574"/>
    <w:rsid w:val="00463956"/>
    <w:rsid w:val="004824CA"/>
    <w:rsid w:val="00482F8D"/>
    <w:rsid w:val="004913F8"/>
    <w:rsid w:val="005623DC"/>
    <w:rsid w:val="00562DAA"/>
    <w:rsid w:val="00580062"/>
    <w:rsid w:val="00580D7E"/>
    <w:rsid w:val="005E3508"/>
    <w:rsid w:val="00623089"/>
    <w:rsid w:val="00627BC5"/>
    <w:rsid w:val="006D6A52"/>
    <w:rsid w:val="006F310C"/>
    <w:rsid w:val="007004E0"/>
    <w:rsid w:val="007561F5"/>
    <w:rsid w:val="0076555B"/>
    <w:rsid w:val="00772542"/>
    <w:rsid w:val="00775A1D"/>
    <w:rsid w:val="00781300"/>
    <w:rsid w:val="007911E2"/>
    <w:rsid w:val="00794DC2"/>
    <w:rsid w:val="0084669C"/>
    <w:rsid w:val="00847C8F"/>
    <w:rsid w:val="00907EC3"/>
    <w:rsid w:val="00953A78"/>
    <w:rsid w:val="009A15C1"/>
    <w:rsid w:val="009C081E"/>
    <w:rsid w:val="009C0CB9"/>
    <w:rsid w:val="009F2421"/>
    <w:rsid w:val="00A20FB6"/>
    <w:rsid w:val="00A4103F"/>
    <w:rsid w:val="00A82891"/>
    <w:rsid w:val="00AC6483"/>
    <w:rsid w:val="00B242B6"/>
    <w:rsid w:val="00B31BE0"/>
    <w:rsid w:val="00B42B95"/>
    <w:rsid w:val="00BB1D0F"/>
    <w:rsid w:val="00BE6D60"/>
    <w:rsid w:val="00C10AAD"/>
    <w:rsid w:val="00C32F44"/>
    <w:rsid w:val="00CC3839"/>
    <w:rsid w:val="00D003A3"/>
    <w:rsid w:val="00DA25D2"/>
    <w:rsid w:val="00DF308E"/>
    <w:rsid w:val="00E51524"/>
    <w:rsid w:val="00EA538B"/>
    <w:rsid w:val="00ED4624"/>
    <w:rsid w:val="00EF53B8"/>
    <w:rsid w:val="00F17F5E"/>
    <w:rsid w:val="00F33881"/>
    <w:rsid w:val="00F92962"/>
    <w:rsid w:val="00FE5A17"/>
    <w:rsid w:val="00FE7D19"/>
    <w:rsid w:val="00FF3E02"/>
    <w:rsid w:val="014653F0"/>
    <w:rsid w:val="03E37E33"/>
    <w:rsid w:val="05D7313C"/>
    <w:rsid w:val="0DEB14A0"/>
    <w:rsid w:val="0EF6634E"/>
    <w:rsid w:val="103E4A53"/>
    <w:rsid w:val="12FC1F84"/>
    <w:rsid w:val="1598015F"/>
    <w:rsid w:val="16415511"/>
    <w:rsid w:val="165C118C"/>
    <w:rsid w:val="17B03F42"/>
    <w:rsid w:val="188E70EA"/>
    <w:rsid w:val="1A4408B5"/>
    <w:rsid w:val="1E2B4D65"/>
    <w:rsid w:val="20840725"/>
    <w:rsid w:val="210B5C89"/>
    <w:rsid w:val="21B45B5C"/>
    <w:rsid w:val="27693709"/>
    <w:rsid w:val="284C3974"/>
    <w:rsid w:val="28700AC7"/>
    <w:rsid w:val="291819B2"/>
    <w:rsid w:val="306058C5"/>
    <w:rsid w:val="329E0084"/>
    <w:rsid w:val="32ED1692"/>
    <w:rsid w:val="33363900"/>
    <w:rsid w:val="34951FE2"/>
    <w:rsid w:val="36791158"/>
    <w:rsid w:val="37DF17C6"/>
    <w:rsid w:val="38726196"/>
    <w:rsid w:val="391C3471"/>
    <w:rsid w:val="3D0F1162"/>
    <w:rsid w:val="3FB543DA"/>
    <w:rsid w:val="402266F3"/>
    <w:rsid w:val="411C2739"/>
    <w:rsid w:val="41EA3241"/>
    <w:rsid w:val="43EA37DE"/>
    <w:rsid w:val="46B96DE1"/>
    <w:rsid w:val="46C71AA8"/>
    <w:rsid w:val="48C3088A"/>
    <w:rsid w:val="4CA94913"/>
    <w:rsid w:val="52741030"/>
    <w:rsid w:val="5A234832"/>
    <w:rsid w:val="5AE12FDB"/>
    <w:rsid w:val="5D250E1A"/>
    <w:rsid w:val="5FC31C4B"/>
    <w:rsid w:val="600971B9"/>
    <w:rsid w:val="60F577E0"/>
    <w:rsid w:val="649410BE"/>
    <w:rsid w:val="64FA5712"/>
    <w:rsid w:val="6B581098"/>
    <w:rsid w:val="6D7952F5"/>
    <w:rsid w:val="6DFD7CD4"/>
    <w:rsid w:val="6F7FE9C1"/>
    <w:rsid w:val="70CD2B43"/>
    <w:rsid w:val="73777534"/>
    <w:rsid w:val="73F26870"/>
    <w:rsid w:val="751D0C5C"/>
    <w:rsid w:val="777D3C34"/>
    <w:rsid w:val="78A45F5B"/>
    <w:rsid w:val="7B6C0247"/>
    <w:rsid w:val="FFEF14B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footer"/>
    <w:basedOn w:val="1"/>
    <w:link w:val="7"/>
    <w:qFormat/>
    <w:uiPriority w:val="0"/>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6"/>
    <w:link w:val="3"/>
    <w:qFormat/>
    <w:uiPriority w:val="0"/>
    <w:rPr>
      <w:rFonts w:eastAsia="方正仿宋_GB2312" w:asciiTheme="minorHAnsi" w:hAnsiTheme="minorHAnsi"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900</Words>
  <Characters>1106</Characters>
  <Lines>3</Lines>
  <Paragraphs>2</Paragraphs>
  <TotalTime>3</TotalTime>
  <ScaleCrop>false</ScaleCrop>
  <LinksUpToDate>false</LinksUpToDate>
  <CharactersWithSpaces>1179</CharactersWithSpaces>
  <Application>WPS Office_11.1.0.11719_F1E327BC-269C-435d-A152-05C5408002CA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2026-04-07T14:18:00Z</dcterms:created>
  <dc:creator>EDY</dc:creator>
  <cp:lastModifiedBy>greatwall</cp:lastModifiedBy>
  <cp:lastPrinted>2026-04-28T17:33:00Z</cp:lastPrinted>
  <dcterms:modified xsi:type="dcterms:W3CDTF">2026-05-10T21:40:48Z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2052-11.1.0.11719</vt:lpwstr>
  </property>
  <property fmtid="{D5CDD505-2E9C-101B-9397-08002B2CF9AE}" pid="3" name="KSOTemplateDocerSaveRecord">
    <vt:lpwstr>eyJoZGlkIjoiN2I3NTc4NDUxYjQ5NDliNTcyYjhjOTc0NjM1MjIyMDEiLCJ1c2VySWQiOiI2ODk0NDUzOTkifQ==</vt:lpwstr>
  </property>
  <property fmtid="{D5CDD505-2E9C-101B-9397-08002B2CF9AE}" pid="4" name="ICV">
    <vt:lpwstr>D61C78EDBB644582B8EFC7A1E6BBD1B5_13</vt:lpwstr>
  </property>
</Properties>
</file>