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4C2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280" w:line="360" w:lineRule="exact"/>
        <w:jc w:val="center"/>
        <w:textAlignment w:val="auto"/>
        <w:rPr>
          <w:rFonts w:hint="eastAsia" w:cs="Times New Roman" w:asciiTheme="minorEastAsia" w:hAnsiTheme="minorEastAsia"/>
          <w:b/>
          <w:sz w:val="44"/>
          <w:szCs w:val="44"/>
          <w14:ligatures w14:val="none"/>
        </w:rPr>
      </w:pPr>
      <w:r>
        <w:rPr>
          <w:rFonts w:hint="eastAsia" w:ascii="华文中宋" w:hAnsi="华文中宋" w:eastAsia="华文中宋" w:cs="华文中宋"/>
          <w:b/>
          <w:sz w:val="28"/>
          <w:szCs w:val="28"/>
          <w14:ligatures w14:val="none"/>
        </w:rPr>
        <w:t>《</w:t>
      </w:r>
      <w:r>
        <w:rPr>
          <w:rFonts w:hint="eastAsia" w:ascii="华文中宋" w:hAnsi="华文中宋" w:eastAsia="华文中宋" w:cs="华文中宋"/>
          <w:b/>
          <w:color w:val="000000"/>
          <w:sz w:val="28"/>
          <w:szCs w:val="28"/>
        </w:rPr>
        <w:t>百年风雨归，图说台湾光复之路</w:t>
      </w:r>
      <w:r>
        <w:rPr>
          <w:rFonts w:hint="eastAsia" w:ascii="华文中宋" w:hAnsi="华文中宋" w:eastAsia="华文中宋" w:cs="华文中宋"/>
          <w:b/>
          <w:sz w:val="28"/>
          <w:szCs w:val="28"/>
          <w14:ligatures w14:val="none"/>
        </w:rPr>
        <w:t>》</w:t>
      </w:r>
    </w:p>
    <w:p w14:paraId="33FEF910">
      <w:pPr>
        <w:spacing w:after="0" w:line="460" w:lineRule="exact"/>
        <w:rPr>
          <w:rFonts w:ascii="仿宋" w:hAnsi="仿宋" w:eastAsia="仿宋" w:cs="Times New Roman"/>
          <w:sz w:val="32"/>
          <w:szCs w:val="32"/>
          <w14:ligatures w14:val="none"/>
        </w:rPr>
      </w:pPr>
    </w:p>
    <w:p w14:paraId="21F46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  <w:t>本组漫画经由境内外新媒体平台的发布，产生较大的社会影响。</w:t>
      </w:r>
    </w:p>
    <w:p w14:paraId="44010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  <w:t>对外宣传方面，在海峡导报X(推特)账号上收获1000多个点赞，油管播放1.1万，FB(脸书)总覆盖近100万，并翻译成英语、法语、日语等在境外平台传播，向外语受众阐释我方涉台立场。</w:t>
      </w:r>
    </w:p>
    <w:p w14:paraId="003E6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  <w:t>值得一提的是，在海峡导报X账号上发布后，先后被中国驻法国大使馆、驻斯特拉斯堡总领事馆等机构转发，成为在国际上讲好两岸故事的传播范例。</w:t>
      </w:r>
    </w:p>
    <w:p w14:paraId="75AE9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  <w:t>有关“台湾光复80周年”的作品很多，常规套路难给读者留下深刻印象。本报另辟蹊径，用漫画的形式呈现这段波澜壮阔的历史，融合纸媒、网站、社交平台，进一步增强传播效果。</w:t>
      </w:r>
    </w:p>
    <w:p w14:paraId="3F33A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  <w:t>尤其是在读图时代，漫画、梗图非常契合境外读者的阅读习惯，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14:ligatures w14:val="none"/>
        </w:rPr>
        <w:t>更能引发他们的共鸣。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434F4"/>
    <w:rsid w:val="0059690C"/>
    <w:rsid w:val="009145DC"/>
    <w:rsid w:val="009631AC"/>
    <w:rsid w:val="166434F4"/>
    <w:rsid w:val="7FF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312</Words>
  <Characters>323</Characters>
  <Lines>2</Lines>
  <Paragraphs>1</Paragraphs>
  <TotalTime>6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2026-04-10T02:30:00Z</dcterms:created>
  <dc:creator>薛洋</dc:creator>
  <cp:lastModifiedBy>叶锦秀</cp:lastModifiedBy>
  <dcterms:modified xsi:type="dcterms:W3CDTF">2026-04-19T03:51:35Z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CA05F20E582043CE88C913EA9B41E474_11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