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8A8D40">
      <w:pPr>
        <w:widowControl w:val="0"/>
        <w:spacing w:line="520" w:lineRule="exact"/>
        <w:rPr>
          <w:rFonts w:hint="eastAsia" w:ascii="黑体" w:hAnsi="黑体" w:eastAsia="黑体" w:cs="仿宋"/>
          <w:kern w:val="0"/>
          <w:sz w:val="32"/>
          <w:szCs w:val="32"/>
        </w:rPr>
      </w:pPr>
      <w:r>
        <w:rPr>
          <w:rFonts w:hint="eastAsia" w:ascii="黑体" w:hAnsi="黑体" w:eastAsia="黑体" w:cs="仿宋"/>
          <w:kern w:val="0"/>
          <w:sz w:val="32"/>
          <w:szCs w:val="32"/>
          <w:lang w:val="zh-CN"/>
        </w:rPr>
        <w:t>附件3</w:t>
      </w:r>
    </w:p>
    <w:p w14:paraId="0FE211A4">
      <w:pPr>
        <w:pStyle w:val="2"/>
        <w:widowControl w:val="0"/>
        <w:spacing w:before="0" w:beforeAutospacing="0" w:after="0" w:afterAutospacing="0" w:line="620" w:lineRule="exact"/>
        <w:jc w:val="center"/>
        <w:rPr>
          <w:rFonts w:hint="eastAsia" w:ascii="方正小标宋简体" w:hAnsi="华文中宋" w:eastAsia="方正小标宋简体" w:cs="Times New Roman"/>
          <w:color w:val="000000"/>
          <w:kern w:val="2"/>
          <w:sz w:val="44"/>
          <w:szCs w:val="36"/>
        </w:rPr>
      </w:pPr>
      <w:r>
        <w:rPr>
          <w:rFonts w:hint="default" w:ascii="方正小标宋简体" w:hAnsi="华文中宋" w:eastAsia="方正小标宋简体" w:cs="Times New Roman"/>
          <w:color w:val="000000"/>
          <w:kern w:val="2"/>
          <w:sz w:val="44"/>
          <w:szCs w:val="36"/>
          <w:lang w:val="en-US" w:eastAsia="zh-CN"/>
        </w:rPr>
        <w:t>副刊</w:t>
      </w:r>
      <w:r>
        <w:rPr>
          <w:rFonts w:hint="eastAsia" w:ascii="方正小标宋简体" w:hAnsi="华文中宋" w:eastAsia="方正小标宋简体" w:cs="Times New Roman"/>
          <w:color w:val="000000"/>
          <w:kern w:val="2"/>
          <w:sz w:val="44"/>
          <w:szCs w:val="36"/>
        </w:rPr>
        <w:t>参评</w:t>
      </w:r>
      <w:r>
        <w:rPr>
          <w:rFonts w:hint="eastAsia" w:ascii="方正小标宋简体" w:hAnsi="华文中宋" w:eastAsia="方正小标宋简体" w:cs="Times New Roman"/>
          <w:color w:val="000000"/>
          <w:kern w:val="2"/>
          <w:sz w:val="44"/>
          <w:szCs w:val="36"/>
          <w:lang w:val="en-US" w:eastAsia="zh-CN"/>
        </w:rPr>
        <w:t>作品</w:t>
      </w:r>
      <w:r>
        <w:rPr>
          <w:rFonts w:hint="eastAsia" w:ascii="方正小标宋简体" w:hAnsi="华文中宋" w:eastAsia="方正小标宋简体" w:cs="Times New Roman"/>
          <w:color w:val="000000"/>
          <w:kern w:val="2"/>
          <w:sz w:val="44"/>
          <w:szCs w:val="36"/>
        </w:rPr>
        <w:t>推荐表</w:t>
      </w:r>
    </w:p>
    <w:tbl>
      <w:tblPr>
        <w:tblStyle w:val="3"/>
        <w:tblW w:w="9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26"/>
        <w:gridCol w:w="663"/>
        <w:gridCol w:w="1374"/>
        <w:gridCol w:w="724"/>
        <w:gridCol w:w="151"/>
        <w:gridCol w:w="1140"/>
        <w:gridCol w:w="337"/>
        <w:gridCol w:w="1103"/>
        <w:gridCol w:w="796"/>
        <w:gridCol w:w="1006"/>
        <w:gridCol w:w="142"/>
        <w:gridCol w:w="961"/>
      </w:tblGrid>
      <w:tr w14:paraId="11E493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3" w:hRule="exact"/>
          <w:jc w:val="center"/>
        </w:trPr>
        <w:tc>
          <w:tcPr>
            <w:tcW w:w="1489" w:type="dxa"/>
            <w:gridSpan w:val="2"/>
            <w:vMerge w:val="restart"/>
            <w:tcBorders>
              <w:top w:val="single" w:color="auto" w:sz="4" w:space="0"/>
              <w:left w:val="single" w:color="auto" w:sz="4" w:space="0"/>
              <w:right w:val="single" w:color="auto" w:sz="4" w:space="0"/>
            </w:tcBorders>
            <w:noWrap w:val="0"/>
            <w:vAlign w:val="center"/>
          </w:tcPr>
          <w:p w14:paraId="0E9851FF">
            <w:pPr>
              <w:widowControl/>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报纸名称</w:t>
            </w:r>
          </w:p>
        </w:tc>
        <w:tc>
          <w:tcPr>
            <w:tcW w:w="3389" w:type="dxa"/>
            <w:gridSpan w:val="4"/>
            <w:vMerge w:val="restart"/>
            <w:tcBorders>
              <w:top w:val="single" w:color="auto" w:sz="4" w:space="0"/>
              <w:left w:val="single" w:color="auto" w:sz="4" w:space="0"/>
              <w:right w:val="single" w:color="auto" w:sz="4" w:space="0"/>
            </w:tcBorders>
            <w:noWrap w:val="0"/>
            <w:vAlign w:val="center"/>
          </w:tcPr>
          <w:p w14:paraId="390FD0BF">
            <w:pPr>
              <w:widowControl/>
              <w:snapToGrid/>
              <w:spacing w:line="260" w:lineRule="exact"/>
              <w:rPr>
                <w:rFonts w:hint="eastAsia" w:ascii="仿宋" w:hAnsi="仿宋" w:eastAsia="仿宋" w:cs="仿宋"/>
                <w:color w:val="000000"/>
                <w:sz w:val="21"/>
                <w:szCs w:val="15"/>
                <w:lang w:eastAsia="zh-CN"/>
              </w:rPr>
            </w:pPr>
            <w:r>
              <w:rPr>
                <w:rFonts w:hint="eastAsia" w:ascii="仿宋" w:hAnsi="仿宋" w:eastAsia="仿宋" w:cs="仿宋"/>
                <w:color w:val="000000"/>
                <w:sz w:val="28"/>
                <w:szCs w:val="28"/>
                <w:lang w:val="en-US" w:eastAsia="zh-CN"/>
              </w:rPr>
              <w:t>闽东日报</w:t>
            </w:r>
          </w:p>
        </w:tc>
        <w:tc>
          <w:tcPr>
            <w:tcW w:w="1440" w:type="dxa"/>
            <w:gridSpan w:val="2"/>
            <w:tcBorders>
              <w:top w:val="single" w:color="auto" w:sz="4" w:space="0"/>
              <w:left w:val="single" w:color="auto" w:sz="4" w:space="0"/>
              <w:bottom w:val="single" w:color="auto" w:sz="4" w:space="0"/>
              <w:right w:val="single" w:color="auto" w:sz="4" w:space="0"/>
            </w:tcBorders>
            <w:noWrap w:val="0"/>
            <w:vAlign w:val="center"/>
          </w:tcPr>
          <w:p w14:paraId="52B7AADF">
            <w:pPr>
              <w:widowControl/>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参评项目</w:t>
            </w:r>
          </w:p>
        </w:tc>
        <w:tc>
          <w:tcPr>
            <w:tcW w:w="2905" w:type="dxa"/>
            <w:gridSpan w:val="4"/>
            <w:tcBorders>
              <w:top w:val="single" w:color="auto" w:sz="4" w:space="0"/>
              <w:left w:val="single" w:color="auto" w:sz="4" w:space="0"/>
              <w:bottom w:val="single" w:color="auto" w:sz="4" w:space="0"/>
              <w:right w:val="single" w:color="auto" w:sz="4" w:space="0"/>
            </w:tcBorders>
            <w:noWrap w:val="0"/>
            <w:vAlign w:val="center"/>
          </w:tcPr>
          <w:p w14:paraId="7E0CA882">
            <w:pPr>
              <w:spacing w:line="500" w:lineRule="exact"/>
              <w:rPr>
                <w:rFonts w:hint="eastAsia" w:ascii="仿宋" w:hAnsi="仿宋" w:eastAsia="仿宋"/>
                <w:szCs w:val="21"/>
              </w:rPr>
            </w:pPr>
            <w:r>
              <w:rPr>
                <w:rFonts w:hint="eastAsia" w:ascii="仿宋" w:hAnsi="仿宋" w:eastAsia="仿宋"/>
                <w:sz w:val="28"/>
                <w:szCs w:val="28"/>
                <w:lang w:val="en-US" w:eastAsia="zh-CN"/>
              </w:rPr>
              <w:t>副刊</w:t>
            </w:r>
          </w:p>
        </w:tc>
      </w:tr>
      <w:tr w14:paraId="40C746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1489" w:type="dxa"/>
            <w:gridSpan w:val="2"/>
            <w:vMerge w:val="continue"/>
            <w:tcBorders>
              <w:left w:val="single" w:color="auto" w:sz="4" w:space="0"/>
              <w:bottom w:val="single" w:color="auto" w:sz="4" w:space="0"/>
              <w:right w:val="single" w:color="auto" w:sz="4" w:space="0"/>
            </w:tcBorders>
            <w:noWrap w:val="0"/>
            <w:vAlign w:val="center"/>
          </w:tcPr>
          <w:p w14:paraId="3C2C187B">
            <w:pPr>
              <w:widowControl/>
              <w:spacing w:line="320" w:lineRule="exact"/>
              <w:jc w:val="center"/>
              <w:rPr>
                <w:rFonts w:hint="eastAsia" w:ascii="仿宋_GB2312" w:hAnsi="仿宋" w:eastAsia="仿宋_GB2312"/>
                <w:color w:val="000000"/>
                <w:sz w:val="28"/>
                <w:szCs w:val="28"/>
              </w:rPr>
            </w:pPr>
          </w:p>
        </w:tc>
        <w:tc>
          <w:tcPr>
            <w:tcW w:w="3389" w:type="dxa"/>
            <w:gridSpan w:val="4"/>
            <w:vMerge w:val="continue"/>
            <w:tcBorders>
              <w:left w:val="single" w:color="auto" w:sz="4" w:space="0"/>
              <w:bottom w:val="single" w:color="auto" w:sz="4" w:space="0"/>
              <w:right w:val="single" w:color="auto" w:sz="4" w:space="0"/>
            </w:tcBorders>
            <w:noWrap w:val="0"/>
            <w:vAlign w:val="center"/>
          </w:tcPr>
          <w:p w14:paraId="4A693612">
            <w:pPr>
              <w:widowControl/>
              <w:snapToGrid/>
              <w:spacing w:line="260" w:lineRule="exact"/>
              <w:rPr>
                <w:rFonts w:hint="eastAsia" w:ascii="仿宋" w:hAnsi="仿宋" w:eastAsia="仿宋" w:cs="仿宋"/>
                <w:color w:val="000000"/>
                <w:sz w:val="21"/>
                <w:szCs w:val="15"/>
              </w:rPr>
            </w:pPr>
          </w:p>
        </w:tc>
        <w:tc>
          <w:tcPr>
            <w:tcW w:w="1440" w:type="dxa"/>
            <w:gridSpan w:val="2"/>
            <w:tcBorders>
              <w:top w:val="single" w:color="auto" w:sz="4" w:space="0"/>
              <w:left w:val="single" w:color="auto" w:sz="4" w:space="0"/>
              <w:bottom w:val="single" w:color="auto" w:sz="4" w:space="0"/>
              <w:right w:val="single" w:color="auto" w:sz="4" w:space="0"/>
            </w:tcBorders>
            <w:noWrap w:val="0"/>
            <w:vAlign w:val="center"/>
          </w:tcPr>
          <w:p w14:paraId="49E64A44">
            <w:pPr>
              <w:widowControl/>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刊发日期</w:t>
            </w:r>
          </w:p>
        </w:tc>
        <w:tc>
          <w:tcPr>
            <w:tcW w:w="2905" w:type="dxa"/>
            <w:gridSpan w:val="4"/>
            <w:tcBorders>
              <w:top w:val="single" w:color="auto" w:sz="4" w:space="0"/>
              <w:left w:val="single" w:color="auto" w:sz="4" w:space="0"/>
              <w:bottom w:val="single" w:color="auto" w:sz="4" w:space="0"/>
              <w:right w:val="single" w:color="auto" w:sz="4" w:space="0"/>
            </w:tcBorders>
            <w:noWrap w:val="0"/>
            <w:vAlign w:val="center"/>
          </w:tcPr>
          <w:p w14:paraId="4E26DEA4">
            <w:pPr>
              <w:widowControl/>
              <w:snapToGrid w:val="0"/>
              <w:rPr>
                <w:rFonts w:hint="eastAsia" w:ascii="仿宋_GB2312" w:hAnsi="仿宋" w:eastAsia="仿宋_GB2312"/>
                <w:color w:val="000000"/>
                <w:sz w:val="28"/>
                <w:szCs w:val="28"/>
              </w:rPr>
            </w:pPr>
            <w:r>
              <w:rPr>
                <w:rFonts w:hint="eastAsia" w:ascii="仿宋" w:hAnsi="仿宋" w:eastAsia="仿宋" w:cs="仿宋"/>
                <w:color w:val="000000"/>
                <w:sz w:val="24"/>
              </w:rPr>
              <w:t>202</w:t>
            </w:r>
            <w:r>
              <w:rPr>
                <w:rFonts w:hint="eastAsia" w:ascii="仿宋" w:hAnsi="仿宋" w:eastAsia="仿宋" w:cs="仿宋"/>
                <w:color w:val="000000"/>
                <w:sz w:val="24"/>
                <w:lang w:val="en-US" w:eastAsia="zh-CN"/>
              </w:rPr>
              <w:t>5</w:t>
            </w:r>
            <w:r>
              <w:rPr>
                <w:rFonts w:hint="eastAsia" w:ascii="仿宋" w:hAnsi="仿宋" w:eastAsia="仿宋" w:cs="仿宋"/>
                <w:color w:val="000000"/>
                <w:sz w:val="24"/>
              </w:rPr>
              <w:t>年</w:t>
            </w:r>
            <w:r>
              <w:rPr>
                <w:rFonts w:hint="eastAsia" w:ascii="仿宋" w:hAnsi="仿宋" w:eastAsia="仿宋" w:cs="仿宋"/>
                <w:color w:val="000000"/>
                <w:sz w:val="24"/>
                <w:lang w:val="en-US" w:eastAsia="zh-CN"/>
              </w:rPr>
              <w:t>8</w:t>
            </w:r>
            <w:r>
              <w:rPr>
                <w:rFonts w:hint="eastAsia" w:ascii="仿宋" w:hAnsi="仿宋" w:eastAsia="仿宋" w:cs="仿宋"/>
                <w:color w:val="000000"/>
                <w:sz w:val="24"/>
              </w:rPr>
              <w:t>月</w:t>
            </w:r>
            <w:r>
              <w:rPr>
                <w:rFonts w:hint="eastAsia" w:ascii="仿宋" w:hAnsi="仿宋" w:eastAsia="仿宋" w:cs="仿宋"/>
                <w:color w:val="000000"/>
                <w:sz w:val="24"/>
                <w:lang w:val="en-US" w:eastAsia="zh-CN"/>
              </w:rPr>
              <w:t>9</w:t>
            </w:r>
            <w:r>
              <w:rPr>
                <w:rFonts w:hint="eastAsia" w:ascii="仿宋" w:hAnsi="仿宋" w:eastAsia="仿宋" w:cs="仿宋"/>
                <w:color w:val="000000"/>
                <w:sz w:val="24"/>
              </w:rPr>
              <w:t>日</w:t>
            </w:r>
          </w:p>
        </w:tc>
      </w:tr>
      <w:tr w14:paraId="563BEF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1489" w:type="dxa"/>
            <w:gridSpan w:val="2"/>
            <w:tcBorders>
              <w:top w:val="single" w:color="auto" w:sz="4" w:space="0"/>
              <w:left w:val="single" w:color="auto" w:sz="4" w:space="0"/>
              <w:bottom w:val="single" w:color="auto" w:sz="4" w:space="0"/>
              <w:right w:val="single" w:color="auto" w:sz="4" w:space="0"/>
            </w:tcBorders>
            <w:noWrap w:val="0"/>
            <w:vAlign w:val="center"/>
          </w:tcPr>
          <w:p w14:paraId="40F95E17">
            <w:pPr>
              <w:widowControl/>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作者</w:t>
            </w:r>
          </w:p>
        </w:tc>
        <w:tc>
          <w:tcPr>
            <w:tcW w:w="3389" w:type="dxa"/>
            <w:gridSpan w:val="4"/>
            <w:tcBorders>
              <w:top w:val="single" w:color="auto" w:sz="4" w:space="0"/>
              <w:left w:val="single" w:color="auto" w:sz="4" w:space="0"/>
              <w:bottom w:val="single" w:color="auto" w:sz="4" w:space="0"/>
              <w:right w:val="single" w:color="auto" w:sz="4" w:space="0"/>
            </w:tcBorders>
            <w:noWrap w:val="0"/>
            <w:vAlign w:val="center"/>
          </w:tcPr>
          <w:p w14:paraId="70F18618">
            <w:pPr>
              <w:widowControl/>
              <w:snapToGrid/>
              <w:spacing w:line="260" w:lineRule="exact"/>
              <w:rPr>
                <w:rFonts w:hint="eastAsia" w:ascii="仿宋" w:hAnsi="仿宋" w:eastAsia="仿宋" w:cs="仿宋"/>
                <w:color w:val="000000"/>
                <w:sz w:val="21"/>
                <w:szCs w:val="15"/>
              </w:rPr>
            </w:pPr>
            <w:r>
              <w:rPr>
                <w:rFonts w:hint="eastAsia" w:ascii="仿宋" w:hAnsi="仿宋" w:eastAsia="仿宋" w:cs="仿宋"/>
                <w:bCs w:val="0"/>
                <w:color w:val="000000"/>
                <w:sz w:val="28"/>
                <w:szCs w:val="28"/>
                <w:lang w:val="en-US" w:eastAsia="zh-CN"/>
              </w:rPr>
              <w:t>吴道锷、陈健</w:t>
            </w:r>
          </w:p>
        </w:tc>
        <w:tc>
          <w:tcPr>
            <w:tcW w:w="1440" w:type="dxa"/>
            <w:gridSpan w:val="2"/>
            <w:tcBorders>
              <w:top w:val="single" w:color="auto" w:sz="4" w:space="0"/>
              <w:left w:val="single" w:color="auto" w:sz="4" w:space="0"/>
              <w:bottom w:val="single" w:color="auto" w:sz="4" w:space="0"/>
              <w:right w:val="single" w:color="auto" w:sz="4" w:space="0"/>
            </w:tcBorders>
            <w:noWrap w:val="0"/>
            <w:vAlign w:val="center"/>
          </w:tcPr>
          <w:p w14:paraId="28C6651C">
            <w:pPr>
              <w:widowControl/>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编辑</w:t>
            </w:r>
          </w:p>
        </w:tc>
        <w:tc>
          <w:tcPr>
            <w:tcW w:w="2905" w:type="dxa"/>
            <w:gridSpan w:val="4"/>
            <w:tcBorders>
              <w:top w:val="single" w:color="auto" w:sz="4" w:space="0"/>
              <w:left w:val="single" w:color="auto" w:sz="4" w:space="0"/>
              <w:bottom w:val="single" w:color="auto" w:sz="4" w:space="0"/>
              <w:right w:val="single" w:color="auto" w:sz="4" w:space="0"/>
            </w:tcBorders>
            <w:noWrap w:val="0"/>
            <w:vAlign w:val="center"/>
          </w:tcPr>
          <w:p w14:paraId="3F923C38">
            <w:pPr>
              <w:spacing w:line="260" w:lineRule="exact"/>
              <w:ind w:firstLine="0" w:firstLineChars="0"/>
              <w:rPr>
                <w:rFonts w:hint="eastAsia" w:ascii="仿宋" w:hAnsi="仿宋" w:eastAsia="仿宋" w:cs="仿宋"/>
                <w:color w:val="000000"/>
                <w:kern w:val="2"/>
                <w:sz w:val="21"/>
                <w:szCs w:val="15"/>
                <w:lang w:val="en-US" w:eastAsia="zh-CN" w:bidi="ar-SA"/>
              </w:rPr>
            </w:pPr>
            <w:r>
              <w:rPr>
                <w:rFonts w:hint="eastAsia" w:ascii="仿宋" w:hAnsi="仿宋" w:eastAsia="仿宋" w:cs="仿宋"/>
                <w:bCs w:val="0"/>
                <w:color w:val="000000"/>
                <w:sz w:val="28"/>
                <w:szCs w:val="28"/>
                <w:lang w:val="en-US" w:eastAsia="zh-CN"/>
              </w:rPr>
              <w:t>陈小虾</w:t>
            </w:r>
          </w:p>
        </w:tc>
      </w:tr>
      <w:tr w14:paraId="17AAE9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24" w:hRule="exact"/>
          <w:jc w:val="center"/>
        </w:trPr>
        <w:tc>
          <w:tcPr>
            <w:tcW w:w="1489" w:type="dxa"/>
            <w:gridSpan w:val="2"/>
            <w:tcBorders>
              <w:top w:val="single" w:color="auto" w:sz="4" w:space="0"/>
              <w:left w:val="single" w:color="auto" w:sz="4" w:space="0"/>
              <w:bottom w:val="single" w:color="auto" w:sz="4" w:space="0"/>
              <w:right w:val="single" w:color="auto" w:sz="4" w:space="0"/>
            </w:tcBorders>
            <w:noWrap w:val="0"/>
            <w:vAlign w:val="center"/>
          </w:tcPr>
          <w:p w14:paraId="1E7B07F2">
            <w:pPr>
              <w:widowControl/>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版面名称</w:t>
            </w:r>
          </w:p>
          <w:p w14:paraId="17D9D45E">
            <w:pPr>
              <w:widowControl/>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及版次</w:t>
            </w:r>
          </w:p>
        </w:tc>
        <w:tc>
          <w:tcPr>
            <w:tcW w:w="2249" w:type="dxa"/>
            <w:gridSpan w:val="3"/>
            <w:tcBorders>
              <w:top w:val="single" w:color="auto" w:sz="4" w:space="0"/>
              <w:left w:val="single" w:color="auto" w:sz="4" w:space="0"/>
              <w:bottom w:val="single" w:color="auto" w:sz="4" w:space="0"/>
              <w:right w:val="single" w:color="auto" w:sz="4" w:space="0"/>
            </w:tcBorders>
            <w:noWrap w:val="0"/>
            <w:vAlign w:val="center"/>
          </w:tcPr>
          <w:p w14:paraId="367B1D7C">
            <w:pPr>
              <w:widowControl/>
              <w:snapToGrid w:val="0"/>
              <w:rPr>
                <w:rFonts w:hint="eastAsia" w:ascii="仿宋" w:hAnsi="仿宋" w:eastAsia="仿宋"/>
                <w:color w:val="000000"/>
                <w:szCs w:val="21"/>
              </w:rPr>
            </w:pPr>
            <w:r>
              <w:rPr>
                <w:rFonts w:hint="eastAsia" w:ascii="仿宋" w:hAnsi="仿宋" w:eastAsia="仿宋" w:cs="仿宋"/>
                <w:bCs w:val="0"/>
                <w:color w:val="000000"/>
                <w:sz w:val="28"/>
                <w:szCs w:val="28"/>
                <w:lang w:val="en-US" w:eastAsia="zh-CN"/>
              </w:rPr>
              <w:t>太姥山下4版</w:t>
            </w:r>
          </w:p>
        </w:tc>
        <w:tc>
          <w:tcPr>
            <w:tcW w:w="1140" w:type="dxa"/>
            <w:tcBorders>
              <w:top w:val="single" w:color="auto" w:sz="4" w:space="0"/>
              <w:left w:val="single" w:color="auto" w:sz="4" w:space="0"/>
              <w:bottom w:val="single" w:color="auto" w:sz="4" w:space="0"/>
              <w:right w:val="single" w:color="auto" w:sz="4" w:space="0"/>
            </w:tcBorders>
            <w:noWrap w:val="0"/>
            <w:vAlign w:val="center"/>
          </w:tcPr>
          <w:p w14:paraId="7BC6D994">
            <w:pPr>
              <w:widowControl/>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版面</w:t>
            </w:r>
          </w:p>
          <w:p w14:paraId="620B1471">
            <w:pPr>
              <w:widowControl/>
              <w:spacing w:line="320" w:lineRule="exact"/>
              <w:jc w:val="center"/>
              <w:rPr>
                <w:rFonts w:hint="eastAsia" w:ascii="华文中宋" w:hAnsi="华文中宋" w:eastAsia="华文中宋" w:cs="Times New Roman"/>
                <w:b w:val="0"/>
                <w:color w:val="000000"/>
                <w:sz w:val="28"/>
                <w:szCs w:val="20"/>
              </w:rPr>
            </w:pPr>
            <w:r>
              <w:rPr>
                <w:rFonts w:hint="eastAsia" w:ascii="华文中宋" w:hAnsi="华文中宋" w:eastAsia="华文中宋"/>
                <w:color w:val="000000"/>
                <w:sz w:val="28"/>
                <w:szCs w:val="20"/>
              </w:rPr>
              <w:t>总字数</w:t>
            </w:r>
          </w:p>
        </w:tc>
        <w:tc>
          <w:tcPr>
            <w:tcW w:w="1440" w:type="dxa"/>
            <w:gridSpan w:val="2"/>
            <w:tcBorders>
              <w:top w:val="single" w:color="auto" w:sz="4" w:space="0"/>
              <w:left w:val="single" w:color="auto" w:sz="4" w:space="0"/>
              <w:bottom w:val="single" w:color="auto" w:sz="4" w:space="0"/>
              <w:right w:val="single" w:color="auto" w:sz="4" w:space="0"/>
            </w:tcBorders>
            <w:noWrap w:val="0"/>
            <w:vAlign w:val="center"/>
          </w:tcPr>
          <w:p w14:paraId="16F1B80F">
            <w:pPr>
              <w:widowControl/>
              <w:snapToGrid w:val="0"/>
              <w:rPr>
                <w:rFonts w:hint="default" w:ascii="仿宋_GB2312" w:hAnsi="仿宋" w:eastAsia="仿宋_GB2312"/>
                <w:color w:val="000000"/>
                <w:sz w:val="28"/>
                <w:szCs w:val="28"/>
                <w:lang w:val="en-US" w:eastAsia="zh-CN"/>
              </w:rPr>
            </w:pPr>
            <w:r>
              <w:rPr>
                <w:rFonts w:hint="eastAsia" w:ascii="仿宋" w:hAnsi="仿宋" w:eastAsia="仿宋" w:cs="仿宋"/>
                <w:bCs w:val="0"/>
                <w:color w:val="000000"/>
                <w:sz w:val="28"/>
                <w:szCs w:val="28"/>
                <w:lang w:val="en-US" w:eastAsia="zh-CN"/>
              </w:rPr>
              <w:t>6185字</w:t>
            </w:r>
          </w:p>
        </w:tc>
        <w:tc>
          <w:tcPr>
            <w:tcW w:w="1802" w:type="dxa"/>
            <w:gridSpan w:val="2"/>
            <w:tcBorders>
              <w:top w:val="single" w:color="auto" w:sz="4" w:space="0"/>
              <w:left w:val="single" w:color="auto" w:sz="4" w:space="0"/>
              <w:bottom w:val="single" w:color="auto" w:sz="4" w:space="0"/>
              <w:right w:val="single" w:color="auto" w:sz="4" w:space="0"/>
            </w:tcBorders>
            <w:noWrap w:val="0"/>
            <w:vAlign w:val="center"/>
          </w:tcPr>
          <w:p w14:paraId="38D23B30">
            <w:pPr>
              <w:spacing w:line="320" w:lineRule="exact"/>
              <w:jc w:val="center"/>
              <w:rPr>
                <w:rFonts w:hint="eastAsia" w:ascii="华文中宋" w:hAnsi="华文中宋" w:eastAsia="华文中宋"/>
                <w:color w:val="000000"/>
                <w:sz w:val="24"/>
                <w:szCs w:val="21"/>
              </w:rPr>
            </w:pPr>
            <w:r>
              <w:rPr>
                <w:rFonts w:hint="eastAsia" w:ascii="华文中宋" w:hAnsi="华文中宋" w:eastAsia="华文中宋"/>
                <w:color w:val="000000"/>
                <w:sz w:val="24"/>
                <w:szCs w:val="21"/>
              </w:rPr>
              <w:t>是否为</w:t>
            </w:r>
          </w:p>
          <w:p w14:paraId="202CCBE0">
            <w:pPr>
              <w:widowControl/>
              <w:snapToGrid w:val="0"/>
              <w:rPr>
                <w:rFonts w:hint="default" w:ascii="仿宋_GB2312" w:hAnsi="仿宋" w:eastAsia="仿宋_GB2312"/>
                <w:color w:val="000000"/>
                <w:sz w:val="28"/>
                <w:szCs w:val="28"/>
                <w:lang w:val="en-US" w:eastAsia="zh-CN"/>
              </w:rPr>
            </w:pPr>
            <w:r>
              <w:rPr>
                <w:rFonts w:hint="eastAsia" w:ascii="华文中宋" w:hAnsi="华文中宋" w:eastAsia="华文中宋"/>
                <w:color w:val="000000"/>
                <w:sz w:val="24"/>
                <w:szCs w:val="21"/>
              </w:rPr>
              <w:t>“三好作品”</w:t>
            </w:r>
          </w:p>
        </w:tc>
        <w:tc>
          <w:tcPr>
            <w:tcW w:w="1103" w:type="dxa"/>
            <w:gridSpan w:val="2"/>
            <w:tcBorders>
              <w:top w:val="single" w:color="auto" w:sz="4" w:space="0"/>
              <w:left w:val="single" w:color="auto" w:sz="4" w:space="0"/>
              <w:bottom w:val="single" w:color="auto" w:sz="4" w:space="0"/>
              <w:right w:val="single" w:color="auto" w:sz="4" w:space="0"/>
            </w:tcBorders>
            <w:noWrap w:val="0"/>
            <w:vAlign w:val="center"/>
          </w:tcPr>
          <w:p w14:paraId="1A04A2C3">
            <w:pPr>
              <w:widowControl/>
              <w:snapToGrid w:val="0"/>
              <w:rPr>
                <w:rFonts w:hint="eastAsia" w:ascii="仿宋_GB2312" w:hAnsi="仿宋" w:eastAsia="仿宋_GB2312"/>
                <w:color w:val="000000"/>
                <w:sz w:val="28"/>
                <w:szCs w:val="28"/>
                <w:lang w:val="en-US" w:eastAsia="zh-CN"/>
              </w:rPr>
            </w:pPr>
            <w:r>
              <w:rPr>
                <w:rFonts w:hint="eastAsia" w:ascii="仿宋_GB2312" w:hAnsi="仿宋" w:eastAsia="仿宋_GB2312"/>
                <w:color w:val="000000"/>
                <w:sz w:val="28"/>
                <w:szCs w:val="28"/>
                <w:lang w:val="en-US" w:eastAsia="zh-CN"/>
              </w:rPr>
              <w:t>否</w:t>
            </w:r>
          </w:p>
        </w:tc>
      </w:tr>
      <w:tr w14:paraId="0BC61C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08" w:hRule="atLeast"/>
          <w:jc w:val="center"/>
        </w:trPr>
        <w:tc>
          <w:tcPr>
            <w:tcW w:w="826" w:type="dxa"/>
            <w:tcBorders>
              <w:tl2br w:val="nil"/>
              <w:tr2bl w:val="nil"/>
            </w:tcBorders>
            <w:noWrap w:val="0"/>
            <w:vAlign w:val="center"/>
          </w:tcPr>
          <w:p w14:paraId="65B87C44">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作</w:t>
            </w:r>
          </w:p>
          <w:p w14:paraId="2552DA78">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品</w:t>
            </w:r>
          </w:p>
          <w:p w14:paraId="3EDAD4B4">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简</w:t>
            </w:r>
          </w:p>
          <w:p w14:paraId="62AE7883">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介</w:t>
            </w:r>
          </w:p>
        </w:tc>
        <w:tc>
          <w:tcPr>
            <w:tcW w:w="8397" w:type="dxa"/>
            <w:gridSpan w:val="11"/>
            <w:tcBorders>
              <w:tl2br w:val="nil"/>
              <w:tr2bl w:val="nil"/>
            </w:tcBorders>
            <w:noWrap w:val="0"/>
            <w:vAlign w:val="center"/>
          </w:tcPr>
          <w:p w14:paraId="6C3B66AD">
            <w:pPr>
              <w:ind w:firstLine="480" w:firstLineChars="200"/>
              <w:rPr>
                <w:rFonts w:hint="eastAsia" w:ascii="仿宋_GB2312" w:eastAsia="仿宋_GB2312"/>
                <w:b w:val="0"/>
                <w:bCs w:val="0"/>
                <w:color w:val="auto"/>
                <w:sz w:val="24"/>
                <w:szCs w:val="24"/>
                <w:lang w:val="en-US" w:eastAsia="zh-CN"/>
              </w:rPr>
            </w:pPr>
          </w:p>
          <w:p w14:paraId="0812DD67">
            <w:pPr>
              <w:ind w:firstLine="480" w:firstLineChars="200"/>
              <w:rPr>
                <w:rFonts w:hint="eastAsia" w:ascii="仿宋" w:hAnsi="仿宋" w:eastAsia="仿宋" w:cs="仿宋"/>
                <w:b w:val="0"/>
                <w:bCs w:val="0"/>
                <w:i w:val="0"/>
                <w:iCs w:val="0"/>
                <w:caps w:val="0"/>
                <w:color w:val="auto"/>
                <w:spacing w:val="0"/>
                <w:sz w:val="24"/>
                <w:szCs w:val="24"/>
                <w:shd w:val="clear" w:color="auto" w:fill="FFFFFF"/>
                <w:lang w:val="en-US" w:eastAsia="zh-CN"/>
              </w:rPr>
            </w:pPr>
            <w:r>
              <w:rPr>
                <w:rFonts w:hint="eastAsia" w:ascii="仿宋_GB2312" w:eastAsia="仿宋_GB2312"/>
                <w:b w:val="0"/>
                <w:bCs w:val="0"/>
                <w:color w:val="auto"/>
                <w:sz w:val="24"/>
                <w:szCs w:val="24"/>
                <w:lang w:val="en-US" w:eastAsia="zh-CN"/>
              </w:rPr>
              <w:t>本版头条文章为报告文学《一叶坦洋》，福建省福安市坦洋村是闽红三大工夫红茶之首的坦洋工夫红茶发源地，是习近平同志任宁德地委书记时的农村党建联系点。</w:t>
            </w:r>
            <w:r>
              <w:rPr>
                <w:rFonts w:hint="eastAsia" w:ascii="仿宋" w:hAnsi="仿宋" w:eastAsia="仿宋" w:cs="仿宋"/>
                <w:b w:val="0"/>
                <w:bCs w:val="0"/>
                <w:i w:val="0"/>
                <w:iCs w:val="0"/>
                <w:caps w:val="0"/>
                <w:color w:val="auto"/>
                <w:spacing w:val="0"/>
                <w:sz w:val="24"/>
                <w:szCs w:val="24"/>
                <w:shd w:val="clear" w:color="auto" w:fill="FFFFFF"/>
              </w:rPr>
              <w:t>1990年5月，习近平即将离开宁德赴福州工作，</w:t>
            </w:r>
            <w:r>
              <w:rPr>
                <w:rFonts w:hint="eastAsia" w:ascii="仿宋" w:hAnsi="仿宋" w:eastAsia="仿宋" w:cs="仿宋"/>
                <w:b w:val="0"/>
                <w:bCs w:val="0"/>
                <w:i w:val="0"/>
                <w:iCs w:val="0"/>
                <w:caps w:val="0"/>
                <w:color w:val="auto"/>
                <w:spacing w:val="0"/>
                <w:sz w:val="24"/>
                <w:szCs w:val="24"/>
                <w:shd w:val="clear" w:color="auto" w:fill="FFFFFF"/>
                <w:lang w:val="en-US" w:eastAsia="zh-CN"/>
              </w:rPr>
              <w:t>与接任书记的交接仪式也特意选在</w:t>
            </w:r>
            <w:r>
              <w:rPr>
                <w:rFonts w:hint="eastAsia" w:ascii="仿宋" w:hAnsi="仿宋" w:eastAsia="仿宋" w:cs="仿宋"/>
                <w:b w:val="0"/>
                <w:bCs w:val="0"/>
                <w:i w:val="0"/>
                <w:iCs w:val="0"/>
                <w:caps w:val="0"/>
                <w:color w:val="auto"/>
                <w:spacing w:val="0"/>
                <w:sz w:val="24"/>
                <w:szCs w:val="24"/>
                <w:shd w:val="clear" w:color="auto" w:fill="FFFFFF"/>
              </w:rPr>
              <w:t>坦洋村</w:t>
            </w:r>
            <w:r>
              <w:rPr>
                <w:rFonts w:hint="eastAsia" w:ascii="仿宋" w:hAnsi="仿宋" w:eastAsia="仿宋" w:cs="仿宋"/>
                <w:b w:val="0"/>
                <w:bCs w:val="0"/>
                <w:i w:val="0"/>
                <w:iCs w:val="0"/>
                <w:caps w:val="0"/>
                <w:color w:val="auto"/>
                <w:spacing w:val="0"/>
                <w:sz w:val="24"/>
                <w:szCs w:val="24"/>
                <w:shd w:val="clear" w:color="auto" w:fill="FFFFFF"/>
                <w:lang w:eastAsia="zh-CN"/>
              </w:rPr>
              <w:t>，</w:t>
            </w:r>
            <w:r>
              <w:rPr>
                <w:rFonts w:hint="eastAsia" w:ascii="仿宋" w:hAnsi="仿宋" w:eastAsia="仿宋" w:cs="仿宋"/>
                <w:b w:val="0"/>
                <w:bCs w:val="0"/>
                <w:i w:val="0"/>
                <w:iCs w:val="0"/>
                <w:caps w:val="0"/>
                <w:color w:val="auto"/>
                <w:spacing w:val="0"/>
                <w:sz w:val="24"/>
                <w:szCs w:val="24"/>
                <w:shd w:val="clear" w:color="auto" w:fill="FFFFFF"/>
                <w:lang w:val="en-US" w:eastAsia="zh-CN"/>
              </w:rPr>
              <w:t>并留下了</w:t>
            </w:r>
            <w:r>
              <w:rPr>
                <w:rFonts w:hint="eastAsia" w:ascii="仿宋" w:hAnsi="仿宋" w:eastAsia="仿宋" w:cs="仿宋"/>
                <w:b w:val="0"/>
                <w:bCs w:val="0"/>
                <w:i w:val="0"/>
                <w:iCs w:val="0"/>
                <w:caps w:val="0"/>
                <w:color w:val="auto"/>
                <w:spacing w:val="0"/>
                <w:sz w:val="24"/>
                <w:szCs w:val="24"/>
                <w:shd w:val="clear" w:color="auto" w:fill="FFFFFF"/>
                <w:lang w:eastAsia="zh-CN"/>
              </w:rPr>
              <w:t>“</w:t>
            </w:r>
            <w:r>
              <w:rPr>
                <w:rFonts w:hint="eastAsia" w:ascii="仿宋" w:hAnsi="仿宋" w:eastAsia="仿宋" w:cs="仿宋"/>
                <w:b w:val="0"/>
                <w:bCs w:val="0"/>
                <w:i w:val="0"/>
                <w:iCs w:val="0"/>
                <w:caps w:val="0"/>
                <w:color w:val="auto"/>
                <w:spacing w:val="0"/>
                <w:sz w:val="24"/>
                <w:szCs w:val="24"/>
                <w:shd w:val="clear" w:color="auto" w:fill="FFFFFF"/>
              </w:rPr>
              <w:t>青山不老，绿水长流，喝过坦洋工夫茶，人走情常在。我的心和你们的心是永远贴在一起的。”</w:t>
            </w:r>
            <w:r>
              <w:rPr>
                <w:rFonts w:hint="eastAsia" w:ascii="仿宋" w:hAnsi="仿宋" w:eastAsia="仿宋" w:cs="仿宋"/>
                <w:b w:val="0"/>
                <w:bCs w:val="0"/>
                <w:i w:val="0"/>
                <w:iCs w:val="0"/>
                <w:caps w:val="0"/>
                <w:color w:val="auto"/>
                <w:spacing w:val="0"/>
                <w:sz w:val="24"/>
                <w:szCs w:val="24"/>
                <w:shd w:val="clear" w:color="auto" w:fill="FFFFFF"/>
                <w:lang w:val="en-US" w:eastAsia="zh-CN"/>
              </w:rPr>
              <w:t>的深情话别语。本文以时间为序，以娓娓道来的人物叙事方式展现了这个茶叶村的三个重要历史时期，生动刻画出一代代坦洋人在一个村庄不同发展阶段的奋斗历程。</w:t>
            </w:r>
          </w:p>
          <w:p w14:paraId="36E9083A">
            <w:pPr>
              <w:ind w:firstLine="480" w:firstLineChars="200"/>
              <w:rPr>
                <w:rFonts w:hint="eastAsia" w:ascii="仿宋" w:hAnsi="仿宋" w:eastAsia="仿宋" w:cs="仿宋"/>
                <w:b w:val="0"/>
                <w:bCs w:val="0"/>
                <w:i w:val="0"/>
                <w:iCs w:val="0"/>
                <w:caps w:val="0"/>
                <w:color w:val="auto"/>
                <w:spacing w:val="0"/>
                <w:sz w:val="24"/>
                <w:szCs w:val="24"/>
                <w:shd w:val="clear" w:color="auto" w:fill="FFFFFF"/>
                <w:lang w:val="en-US" w:eastAsia="zh-CN"/>
              </w:rPr>
            </w:pPr>
            <w:r>
              <w:rPr>
                <w:rFonts w:hint="eastAsia" w:ascii="仿宋" w:hAnsi="仿宋" w:eastAsia="仿宋" w:cs="仿宋"/>
                <w:b w:val="0"/>
                <w:bCs w:val="0"/>
                <w:i w:val="0"/>
                <w:iCs w:val="0"/>
                <w:caps w:val="0"/>
                <w:color w:val="auto"/>
                <w:spacing w:val="0"/>
                <w:sz w:val="24"/>
                <w:szCs w:val="24"/>
                <w:shd w:val="clear" w:color="auto" w:fill="FFFFFF"/>
                <w:lang w:val="en-US" w:eastAsia="zh-CN"/>
              </w:rPr>
              <w:t>本版面由报告文学、诗歌、散文组成，均为本土题材作品，体现宁德山海特色、文化传承主题，同时，每篇文章均以图文形式呈现，整体体现图文并茂视觉效果。</w:t>
            </w:r>
          </w:p>
          <w:p w14:paraId="0B00C678">
            <w:pPr>
              <w:keepNext w:val="0"/>
              <w:keepLines w:val="0"/>
              <w:pageBreakBefore w:val="0"/>
              <w:widowControl w:val="0"/>
              <w:kinsoku/>
              <w:wordWrap/>
              <w:overflowPunct/>
              <w:topLinePunct w:val="0"/>
              <w:autoSpaceDE/>
              <w:autoSpaceDN/>
              <w:bidi w:val="0"/>
              <w:adjustRightInd/>
              <w:snapToGrid/>
              <w:spacing w:line="320" w:lineRule="exact"/>
              <w:ind w:firstLine="480" w:firstLineChars="200"/>
              <w:textAlignment w:val="auto"/>
              <w:rPr>
                <w:rFonts w:hint="eastAsia" w:ascii="仿宋_GB2312" w:eastAsia="仿宋_GB2312"/>
                <w:sz w:val="24"/>
                <w:szCs w:val="24"/>
                <w:lang w:val="en-US" w:eastAsia="zh-CN"/>
              </w:rPr>
            </w:pPr>
            <w:r>
              <w:rPr>
                <w:rFonts w:hint="eastAsia" w:ascii="仿宋_GB2312" w:eastAsia="仿宋_GB2312"/>
                <w:sz w:val="24"/>
                <w:szCs w:val="24"/>
                <w:lang w:val="en-US" w:eastAsia="zh-CN"/>
              </w:rPr>
              <w:t>本期太姥山下副刊刊发后，头条文章被人民网、学习强国、搜狐、新浪、网易、腾讯等互联网、新媒体先后转载，阅读量超百万人次。</w:t>
            </w:r>
          </w:p>
          <w:p w14:paraId="3253547F">
            <w:pPr>
              <w:ind w:firstLine="480" w:firstLineChars="200"/>
              <w:rPr>
                <w:rFonts w:hint="default" w:ascii="仿宋" w:hAnsi="仿宋" w:eastAsia="仿宋" w:cs="仿宋"/>
                <w:b w:val="0"/>
                <w:bCs w:val="0"/>
                <w:i w:val="0"/>
                <w:iCs w:val="0"/>
                <w:caps w:val="0"/>
                <w:color w:val="auto"/>
                <w:spacing w:val="0"/>
                <w:sz w:val="24"/>
                <w:szCs w:val="24"/>
                <w:shd w:val="clear" w:color="auto" w:fill="FFFFFF"/>
                <w:lang w:val="en-US" w:eastAsia="zh-CN"/>
              </w:rPr>
            </w:pPr>
          </w:p>
        </w:tc>
      </w:tr>
      <w:tr w14:paraId="1FA48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exact"/>
          <w:jc w:val="center"/>
        </w:trPr>
        <w:tc>
          <w:tcPr>
            <w:tcW w:w="826" w:type="dxa"/>
            <w:vMerge w:val="restart"/>
            <w:noWrap w:val="0"/>
            <w:vAlign w:val="center"/>
          </w:tcPr>
          <w:p w14:paraId="754DF51A">
            <w:pPr>
              <w:spacing w:line="320" w:lineRule="exact"/>
              <w:jc w:val="center"/>
              <w:rPr>
                <w:rFonts w:hint="eastAsia" w:ascii="华文中宋" w:hAnsi="华文中宋" w:eastAsia="华文中宋" w:cs="华文中宋"/>
                <w:color w:val="000000"/>
                <w:sz w:val="28"/>
                <w:szCs w:val="22"/>
                <w:lang w:bidi="ar"/>
              </w:rPr>
            </w:pPr>
            <w:r>
              <w:rPr>
                <w:rFonts w:hint="eastAsia" w:ascii="华文中宋" w:hAnsi="华文中宋" w:eastAsia="华文中宋" w:cs="华文中宋"/>
                <w:color w:val="000000"/>
                <w:sz w:val="28"/>
                <w:szCs w:val="22"/>
                <w:lang w:bidi="ar"/>
              </w:rPr>
              <w:t>传</w:t>
            </w:r>
          </w:p>
          <w:p w14:paraId="39BE4C98">
            <w:pPr>
              <w:spacing w:line="320" w:lineRule="exact"/>
              <w:jc w:val="center"/>
              <w:rPr>
                <w:rFonts w:hint="eastAsia" w:ascii="华文中宋" w:hAnsi="华文中宋" w:eastAsia="华文中宋" w:cs="华文中宋"/>
                <w:color w:val="000000"/>
                <w:sz w:val="28"/>
                <w:szCs w:val="22"/>
                <w:lang w:val="en-US" w:eastAsia="zh-CN" w:bidi="ar"/>
              </w:rPr>
            </w:pPr>
            <w:r>
              <w:rPr>
                <w:rFonts w:hint="eastAsia" w:ascii="华文中宋" w:hAnsi="华文中宋" w:eastAsia="华文中宋" w:cs="华文中宋"/>
                <w:color w:val="000000"/>
                <w:sz w:val="28"/>
                <w:szCs w:val="22"/>
                <w:lang w:bidi="ar"/>
              </w:rPr>
              <w:t>播</w:t>
            </w:r>
          </w:p>
          <w:p w14:paraId="21758A91">
            <w:pPr>
              <w:spacing w:line="320" w:lineRule="exact"/>
              <w:jc w:val="center"/>
              <w:rPr>
                <w:rFonts w:hint="eastAsia" w:ascii="华文中宋" w:hAnsi="华文中宋" w:eastAsia="华文中宋" w:cs="华文中宋"/>
                <w:color w:val="000000"/>
                <w:sz w:val="28"/>
                <w:szCs w:val="22"/>
                <w:lang w:bidi="ar"/>
              </w:rPr>
            </w:pPr>
            <w:r>
              <w:rPr>
                <w:rFonts w:hint="eastAsia" w:ascii="华文中宋" w:hAnsi="华文中宋" w:eastAsia="华文中宋" w:cs="华文中宋"/>
                <w:color w:val="000000"/>
                <w:sz w:val="28"/>
                <w:szCs w:val="22"/>
                <w:lang w:bidi="ar"/>
              </w:rPr>
              <w:t>数</w:t>
            </w:r>
          </w:p>
          <w:p w14:paraId="24D14D5B">
            <w:pPr>
              <w:spacing w:line="320" w:lineRule="exact"/>
              <w:jc w:val="center"/>
              <w:rPr>
                <w:rFonts w:hint="eastAsia" w:ascii="华文中宋" w:hAnsi="华文中宋" w:eastAsia="华文中宋"/>
                <w:color w:val="000000"/>
                <w:sz w:val="22"/>
                <w:szCs w:val="20"/>
              </w:rPr>
            </w:pPr>
            <w:r>
              <w:rPr>
                <w:rFonts w:hint="eastAsia" w:ascii="华文中宋" w:hAnsi="华文中宋" w:eastAsia="华文中宋" w:cs="华文中宋"/>
                <w:color w:val="000000"/>
                <w:sz w:val="28"/>
                <w:szCs w:val="22"/>
                <w:lang w:bidi="ar"/>
              </w:rPr>
              <w:t>据</w:t>
            </w:r>
          </w:p>
        </w:tc>
        <w:tc>
          <w:tcPr>
            <w:tcW w:w="2037" w:type="dxa"/>
            <w:gridSpan w:val="2"/>
            <w:noWrap w:val="0"/>
            <w:vAlign w:val="center"/>
          </w:tcPr>
          <w:p w14:paraId="05A9A918">
            <w:pPr>
              <w:jc w:val="left"/>
              <w:rPr>
                <w:rFonts w:hint="eastAsia" w:ascii="楷体" w:hAnsi="楷体" w:eastAsia="楷体" w:cs="楷体"/>
                <w:b/>
                <w:bCs/>
                <w:color w:val="000000"/>
                <w:sz w:val="24"/>
                <w:szCs w:val="18"/>
              </w:rPr>
            </w:pPr>
            <w:r>
              <w:rPr>
                <w:rFonts w:hint="eastAsia" w:ascii="楷体" w:hAnsi="楷体" w:eastAsia="楷体" w:cs="楷体"/>
                <w:b/>
                <w:bCs/>
                <w:color w:val="000000"/>
                <w:spacing w:val="-10"/>
                <w:sz w:val="24"/>
                <w:szCs w:val="18"/>
                <w:lang w:val="en-US" w:eastAsia="zh-CN"/>
              </w:rPr>
              <w:t>全网</w:t>
            </w:r>
            <w:r>
              <w:rPr>
                <w:rFonts w:hint="eastAsia" w:ascii="楷体" w:hAnsi="楷体" w:eastAsia="楷体" w:cs="楷体"/>
                <w:b/>
                <w:bCs/>
                <w:color w:val="000000"/>
                <w:spacing w:val="-10"/>
                <w:sz w:val="24"/>
                <w:szCs w:val="18"/>
              </w:rPr>
              <w:t>传播</w:t>
            </w:r>
            <w:r>
              <w:rPr>
                <w:rFonts w:hint="eastAsia" w:ascii="楷体" w:hAnsi="楷体" w:eastAsia="楷体" w:cs="楷体"/>
                <w:b/>
                <w:bCs/>
                <w:color w:val="000000"/>
                <w:spacing w:val="-10"/>
                <w:sz w:val="24"/>
                <w:szCs w:val="18"/>
                <w:lang w:val="en-US" w:eastAsia="zh-CN"/>
              </w:rPr>
              <w:t>量最高</w:t>
            </w:r>
            <w:r>
              <w:rPr>
                <w:rFonts w:hint="eastAsia" w:ascii="楷体" w:hAnsi="楷体" w:eastAsia="楷体" w:cs="楷体"/>
                <w:b/>
                <w:bCs/>
                <w:color w:val="000000"/>
                <w:sz w:val="24"/>
                <w:szCs w:val="18"/>
              </w:rPr>
              <w:t>平台</w:t>
            </w:r>
            <w:r>
              <w:rPr>
                <w:rFonts w:hint="eastAsia" w:ascii="楷体" w:hAnsi="楷体" w:eastAsia="楷体" w:cs="楷体"/>
                <w:b/>
                <w:bCs/>
                <w:color w:val="000000"/>
                <w:sz w:val="24"/>
                <w:szCs w:val="18"/>
                <w:lang w:val="en-US" w:eastAsia="zh-CN"/>
              </w:rPr>
              <w:t>发布</w:t>
            </w:r>
            <w:r>
              <w:rPr>
                <w:rFonts w:hint="eastAsia" w:ascii="楷体" w:hAnsi="楷体" w:eastAsia="楷体" w:cs="楷体"/>
                <w:b/>
                <w:bCs/>
                <w:color w:val="000000"/>
                <w:sz w:val="24"/>
                <w:szCs w:val="18"/>
              </w:rPr>
              <w:t>网址</w:t>
            </w:r>
          </w:p>
        </w:tc>
        <w:tc>
          <w:tcPr>
            <w:tcW w:w="6360" w:type="dxa"/>
            <w:gridSpan w:val="9"/>
            <w:noWrap w:val="0"/>
            <w:vAlign w:val="center"/>
          </w:tcPr>
          <w:p w14:paraId="6EDFC470">
            <w:pPr>
              <w:rPr>
                <w:rFonts w:hint="eastAsia" w:ascii="仿宋" w:hAnsi="仿宋" w:eastAsia="仿宋"/>
                <w:color w:val="000000"/>
                <w:szCs w:val="21"/>
              </w:rPr>
            </w:pPr>
            <w:r>
              <w:rPr>
                <w:rFonts w:hint="eastAsia" w:ascii="仿宋" w:hAnsi="仿宋" w:eastAsia="仿宋"/>
                <w:color w:val="000000"/>
                <w:szCs w:val="21"/>
              </w:rPr>
              <w:t>https://h5.ndhcw.cn/davmu/share/holly/doc/2025/07/7a726T42h9/index.html</w:t>
            </w:r>
          </w:p>
        </w:tc>
      </w:tr>
      <w:tr w14:paraId="3A5D4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exact"/>
          <w:jc w:val="center"/>
        </w:trPr>
        <w:tc>
          <w:tcPr>
            <w:tcW w:w="826" w:type="dxa"/>
            <w:vMerge w:val="continue"/>
            <w:noWrap w:val="0"/>
            <w:vAlign w:val="center"/>
          </w:tcPr>
          <w:p w14:paraId="63B6890B">
            <w:pPr>
              <w:spacing w:line="320" w:lineRule="exact"/>
              <w:jc w:val="center"/>
              <w:rPr>
                <w:rFonts w:hint="eastAsia" w:ascii="华文中宋" w:hAnsi="华文中宋" w:eastAsia="华文中宋"/>
                <w:color w:val="000000"/>
                <w:sz w:val="28"/>
              </w:rPr>
            </w:pPr>
          </w:p>
        </w:tc>
        <w:tc>
          <w:tcPr>
            <w:tcW w:w="2037" w:type="dxa"/>
            <w:gridSpan w:val="2"/>
            <w:noWrap w:val="0"/>
            <w:vAlign w:val="center"/>
          </w:tcPr>
          <w:p w14:paraId="00B32134">
            <w:pPr>
              <w:spacing w:line="240" w:lineRule="exact"/>
              <w:rPr>
                <w:rFonts w:hint="default" w:ascii="仿宋" w:hAnsi="仿宋" w:eastAsia="楷体" w:cs="Times New Roman"/>
                <w:color w:val="000000"/>
                <w:kern w:val="2"/>
                <w:sz w:val="21"/>
                <w:szCs w:val="21"/>
                <w:lang w:val="en-US" w:eastAsia="zh-CN" w:bidi="ar-SA"/>
              </w:rPr>
            </w:pPr>
            <w:r>
              <w:rPr>
                <w:rFonts w:hint="eastAsia" w:ascii="楷体" w:hAnsi="楷体" w:eastAsia="楷体" w:cs="楷体"/>
                <w:b/>
                <w:bCs/>
                <w:color w:val="000000"/>
                <w:sz w:val="21"/>
                <w:szCs w:val="21"/>
                <w:lang w:val="en-US" w:eastAsia="zh-CN"/>
              </w:rPr>
              <w:t>该平台传播量</w:t>
            </w:r>
          </w:p>
        </w:tc>
        <w:tc>
          <w:tcPr>
            <w:tcW w:w="724" w:type="dxa"/>
            <w:noWrap w:val="0"/>
            <w:vAlign w:val="center"/>
          </w:tcPr>
          <w:p w14:paraId="1A7082C0">
            <w:pPr>
              <w:spacing w:line="240" w:lineRule="exact"/>
              <w:rPr>
                <w:rFonts w:hint="default" w:ascii="仿宋" w:hAnsi="仿宋" w:eastAsia="仿宋" w:cs="Times New Roman"/>
                <w:color w:val="000000"/>
                <w:kern w:val="2"/>
                <w:sz w:val="21"/>
                <w:szCs w:val="21"/>
                <w:lang w:val="en-US" w:eastAsia="zh-CN" w:bidi="ar-SA"/>
              </w:rPr>
            </w:pPr>
            <w:r>
              <w:rPr>
                <w:rFonts w:hint="eastAsia" w:ascii="仿宋" w:hAnsi="仿宋" w:eastAsia="仿宋" w:cs="Times New Roman"/>
                <w:color w:val="000000"/>
                <w:kern w:val="2"/>
                <w:sz w:val="24"/>
                <w:szCs w:val="24"/>
                <w:lang w:val="en-US" w:eastAsia="zh-CN" w:bidi="ar-SA"/>
              </w:rPr>
              <w:t>18.76万</w:t>
            </w:r>
          </w:p>
        </w:tc>
        <w:tc>
          <w:tcPr>
            <w:tcW w:w="1628" w:type="dxa"/>
            <w:gridSpan w:val="3"/>
            <w:noWrap w:val="0"/>
            <w:vAlign w:val="center"/>
          </w:tcPr>
          <w:p w14:paraId="78388B11">
            <w:pPr>
              <w:spacing w:line="240" w:lineRule="exact"/>
              <w:rPr>
                <w:rFonts w:hint="default" w:ascii="仿宋" w:hAnsi="仿宋" w:eastAsia="仿宋" w:cs="Times New Roman"/>
                <w:color w:val="000000"/>
                <w:kern w:val="2"/>
                <w:sz w:val="21"/>
                <w:szCs w:val="21"/>
                <w:lang w:val="en-US" w:eastAsia="zh-CN" w:bidi="ar-SA"/>
              </w:rPr>
            </w:pPr>
            <w:r>
              <w:rPr>
                <w:rFonts w:hint="eastAsia" w:ascii="楷体" w:hAnsi="楷体" w:eastAsia="楷体" w:cs="楷体"/>
                <w:b/>
                <w:bCs/>
                <w:color w:val="000000"/>
                <w:sz w:val="21"/>
                <w:szCs w:val="21"/>
                <w:lang w:val="en-US" w:eastAsia="zh-CN"/>
              </w:rPr>
              <w:t>该平台</w:t>
            </w:r>
            <w:r>
              <w:rPr>
                <w:rFonts w:hint="eastAsia" w:ascii="楷体" w:hAnsi="楷体" w:eastAsia="楷体" w:cs="楷体"/>
                <w:b/>
                <w:bCs/>
                <w:color w:val="000000"/>
                <w:sz w:val="21"/>
                <w:szCs w:val="21"/>
              </w:rPr>
              <w:t>互动</w:t>
            </w:r>
            <w:r>
              <w:rPr>
                <w:rFonts w:hint="eastAsia" w:ascii="楷体" w:hAnsi="楷体" w:eastAsia="楷体" w:cs="楷体"/>
                <w:b/>
                <w:bCs/>
                <w:color w:val="000000"/>
                <w:sz w:val="21"/>
                <w:szCs w:val="21"/>
                <w:lang w:val="en-US" w:eastAsia="zh-CN"/>
              </w:rPr>
              <w:t>量</w:t>
            </w:r>
          </w:p>
        </w:tc>
        <w:tc>
          <w:tcPr>
            <w:tcW w:w="1899" w:type="dxa"/>
            <w:gridSpan w:val="2"/>
            <w:noWrap w:val="0"/>
            <w:vAlign w:val="center"/>
          </w:tcPr>
          <w:p w14:paraId="0B6DF249">
            <w:pPr>
              <w:spacing w:line="240" w:lineRule="exact"/>
              <w:rPr>
                <w:rFonts w:hint="default" w:ascii="仿宋" w:hAnsi="仿宋" w:eastAsia="仿宋"/>
                <w:color w:val="000000"/>
                <w:sz w:val="21"/>
                <w:szCs w:val="21"/>
                <w:lang w:val="en-US" w:eastAsia="zh-CN"/>
              </w:rPr>
            </w:pPr>
            <w:r>
              <w:rPr>
                <w:rFonts w:hint="eastAsia" w:ascii="仿宋" w:hAnsi="仿宋" w:eastAsia="仿宋"/>
                <w:color w:val="000000"/>
                <w:sz w:val="24"/>
                <w:szCs w:val="24"/>
                <w:lang w:val="en-US" w:eastAsia="zh-CN"/>
              </w:rPr>
              <w:t>1374</w:t>
            </w:r>
          </w:p>
        </w:tc>
        <w:tc>
          <w:tcPr>
            <w:tcW w:w="1148" w:type="dxa"/>
            <w:gridSpan w:val="2"/>
            <w:noWrap w:val="0"/>
            <w:vAlign w:val="center"/>
          </w:tcPr>
          <w:p w14:paraId="36B14825">
            <w:pPr>
              <w:spacing w:line="240" w:lineRule="exact"/>
              <w:rPr>
                <w:rFonts w:hint="eastAsia" w:ascii="仿宋" w:hAnsi="仿宋" w:eastAsia="仿宋"/>
                <w:color w:val="000000"/>
                <w:sz w:val="21"/>
                <w:szCs w:val="21"/>
              </w:rPr>
            </w:pPr>
            <w:r>
              <w:rPr>
                <w:rFonts w:hint="eastAsia" w:ascii="楷体" w:hAnsi="楷体" w:eastAsia="楷体" w:cs="楷体"/>
                <w:b/>
                <w:bCs/>
                <w:color w:val="000000"/>
                <w:sz w:val="21"/>
                <w:szCs w:val="21"/>
                <w:lang w:val="en-US" w:eastAsia="zh-CN"/>
              </w:rPr>
              <w:t>全网总传播量（万）</w:t>
            </w:r>
          </w:p>
        </w:tc>
        <w:tc>
          <w:tcPr>
            <w:tcW w:w="961" w:type="dxa"/>
            <w:noWrap w:val="0"/>
            <w:vAlign w:val="center"/>
          </w:tcPr>
          <w:p w14:paraId="4DFBE750">
            <w:pPr>
              <w:spacing w:line="240" w:lineRule="exact"/>
              <w:rPr>
                <w:rFonts w:hint="eastAsia" w:ascii="仿宋" w:hAnsi="仿宋" w:eastAsia="仿宋"/>
                <w:color w:val="000000"/>
                <w:sz w:val="21"/>
                <w:szCs w:val="21"/>
              </w:rPr>
            </w:pPr>
            <w:r>
              <w:rPr>
                <w:rFonts w:hint="eastAsia" w:ascii="仿宋_GB2312" w:eastAsia="仿宋_GB2312"/>
                <w:sz w:val="24"/>
                <w:lang w:val="en-US" w:eastAsia="zh-CN"/>
              </w:rPr>
              <w:t>105.31万</w:t>
            </w:r>
          </w:p>
        </w:tc>
      </w:tr>
      <w:tr w14:paraId="7893B9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57" w:hRule="exact"/>
          <w:jc w:val="center"/>
        </w:trPr>
        <w:tc>
          <w:tcPr>
            <w:tcW w:w="826" w:type="dxa"/>
            <w:tcBorders>
              <w:top w:val="single" w:color="auto" w:sz="4" w:space="0"/>
              <w:left w:val="single" w:color="auto" w:sz="4" w:space="0"/>
              <w:bottom w:val="single" w:color="auto" w:sz="4" w:space="0"/>
              <w:right w:val="single" w:color="auto" w:sz="4" w:space="0"/>
            </w:tcBorders>
            <w:noWrap w:val="0"/>
            <w:vAlign w:val="center"/>
          </w:tcPr>
          <w:p w14:paraId="7C695544">
            <w:pPr>
              <w:widowControl w:val="0"/>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14:paraId="47A5E573">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初推</w:t>
            </w:r>
          </w:p>
          <w:p w14:paraId="72ABC95B">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评荐</w:t>
            </w:r>
          </w:p>
          <w:p w14:paraId="135431E1">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评理</w:t>
            </w:r>
          </w:p>
          <w:p w14:paraId="4E8F8EF9">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语由</w:t>
            </w:r>
          </w:p>
          <w:p w14:paraId="61F49850">
            <w:pPr>
              <w:widowControl/>
              <w:spacing w:line="400" w:lineRule="exact"/>
              <w:jc w:val="center"/>
              <w:rPr>
                <w:rFonts w:hint="eastAsia" w:ascii="华文中宋" w:hAnsi="华文中宋" w:eastAsia="华文中宋"/>
                <w:sz w:val="28"/>
                <w:szCs w:val="20"/>
              </w:rPr>
            </w:pPr>
            <w:r>
              <w:rPr>
                <w:rFonts w:hint="eastAsia" w:ascii="华文中宋" w:hAnsi="华文中宋" w:eastAsia="华文中宋"/>
                <w:sz w:val="28"/>
                <w:lang w:val="en-US" w:eastAsia="zh-CN"/>
              </w:rPr>
              <w:t xml:space="preserve">  </w:t>
            </w:r>
            <w:r>
              <w:rPr>
                <w:rFonts w:hint="eastAsia" w:ascii="华文中宋" w:hAnsi="华文中宋" w:eastAsia="华文中宋"/>
                <w:sz w:val="28"/>
              </w:rPr>
              <w:t>︶</w:t>
            </w:r>
          </w:p>
        </w:tc>
        <w:tc>
          <w:tcPr>
            <w:tcW w:w="8397" w:type="dxa"/>
            <w:gridSpan w:val="11"/>
            <w:tcBorders>
              <w:top w:val="single" w:color="auto" w:sz="4" w:space="0"/>
              <w:left w:val="single" w:color="auto" w:sz="4" w:space="0"/>
              <w:bottom w:val="single" w:color="auto" w:sz="4" w:space="0"/>
              <w:right w:val="single" w:color="auto" w:sz="4" w:space="0"/>
            </w:tcBorders>
            <w:noWrap w:val="0"/>
            <w:vAlign w:val="center"/>
          </w:tcPr>
          <w:p w14:paraId="3DC23E49">
            <w:pPr>
              <w:ind w:firstLine="480" w:firstLineChars="200"/>
              <w:rPr>
                <w:rFonts w:hint="eastAsia" w:ascii="仿宋" w:hAnsi="仿宋" w:eastAsia="仿宋" w:cs="仿宋"/>
                <w:sz w:val="24"/>
                <w:szCs w:val="24"/>
                <w:lang w:val="en-US" w:eastAsia="zh-CN"/>
              </w:rPr>
            </w:pPr>
          </w:p>
          <w:p w14:paraId="0FAACB3D">
            <w:pPr>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本版头条文章语言平实流畅，兼具历史厚度、文学质感与时代温度，通过对土地与人、历史与当下、传承与创新的生动叙事，以“一片茶叶”为线，串联起一个村庄两百余年的命运沉浮。本文不仅是对坦洋工夫红茶的记录，也是对中国乡村在现代化进程中寻找自身定位的一次深刻观照。</w:t>
            </w:r>
          </w:p>
          <w:p w14:paraId="62A13C3D">
            <w:pPr>
              <w:ind w:firstLine="480" w:firstLineChars="200"/>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本版三篇文章均呈现人与事相结合的生动叙事特点，整体版面体现图文并茂的视觉效果。</w:t>
            </w:r>
          </w:p>
          <w:p w14:paraId="795FC30E">
            <w:pPr>
              <w:spacing w:line="240" w:lineRule="exact"/>
              <w:rPr>
                <w:rFonts w:hint="eastAsia" w:ascii="华文中宋" w:hAnsi="华文中宋" w:eastAsia="华文中宋"/>
                <w:color w:val="000000"/>
                <w:spacing w:val="-2"/>
                <w:sz w:val="28"/>
              </w:rPr>
            </w:pPr>
            <w:r>
              <w:rPr>
                <w:rFonts w:hint="eastAsia" w:ascii="华文中宋" w:hAnsi="华文中宋" w:eastAsia="华文中宋"/>
                <w:color w:val="000000"/>
                <w:spacing w:val="-2"/>
                <w:sz w:val="28"/>
              </w:rPr>
              <w:t xml:space="preserve">                      </w:t>
            </w:r>
          </w:p>
          <w:p w14:paraId="4F2F0829">
            <w:pPr>
              <w:spacing w:line="360" w:lineRule="exact"/>
              <w:rPr>
                <w:rFonts w:hint="eastAsia" w:ascii="华文中宋" w:hAnsi="华文中宋" w:eastAsia="华文中宋"/>
                <w:color w:val="000000"/>
                <w:spacing w:val="-2"/>
                <w:sz w:val="28"/>
              </w:rPr>
            </w:pPr>
            <w:r>
              <w:rPr>
                <w:rFonts w:hint="eastAsia" w:ascii="华文中宋" w:hAnsi="华文中宋" w:eastAsia="华文中宋"/>
                <w:color w:val="000000"/>
                <w:spacing w:val="-2"/>
                <w:sz w:val="28"/>
              </w:rPr>
              <w:t xml:space="preserve">                          </w:t>
            </w:r>
            <w:r>
              <w:rPr>
                <w:rFonts w:hint="eastAsia" w:ascii="华文中宋" w:hAnsi="华文中宋" w:eastAsia="华文中宋"/>
                <w:color w:val="000000"/>
                <w:spacing w:val="-2"/>
                <w:sz w:val="28"/>
                <w:lang w:val="en-US" w:eastAsia="zh-CN"/>
              </w:rPr>
              <w:t xml:space="preserve">    </w:t>
            </w:r>
            <w:r>
              <w:rPr>
                <w:rFonts w:hint="eastAsia" w:ascii="华文中宋" w:hAnsi="华文中宋" w:eastAsia="华文中宋"/>
                <w:color w:val="000000"/>
                <w:spacing w:val="-2"/>
                <w:sz w:val="28"/>
              </w:rPr>
              <w:t xml:space="preserve"> 签名：</w:t>
            </w:r>
            <w:bookmarkStart w:id="0" w:name="_GoBack"/>
            <w:bookmarkEnd w:id="0"/>
          </w:p>
          <w:p w14:paraId="2C2BCA19">
            <w:pPr>
              <w:spacing w:line="360" w:lineRule="exact"/>
              <w:ind w:firstLine="4760" w:firstLineChars="1700"/>
              <w:rPr>
                <w:rFonts w:hint="eastAsia" w:ascii="华文中宋" w:hAnsi="华文中宋" w:eastAsia="华文中宋"/>
                <w:color w:val="000000"/>
                <w:sz w:val="28"/>
              </w:rPr>
            </w:pPr>
            <w:r>
              <w:rPr>
                <w:rFonts w:hint="eastAsia" w:ascii="华文中宋" w:hAnsi="华文中宋" w:eastAsia="华文中宋"/>
                <w:color w:val="000000"/>
                <w:sz w:val="28"/>
              </w:rPr>
              <w:t>（盖单位公章）</w:t>
            </w:r>
          </w:p>
          <w:p w14:paraId="1039B367">
            <w:pPr>
              <w:spacing w:line="360" w:lineRule="exact"/>
              <w:rPr>
                <w:rFonts w:hint="eastAsia" w:ascii="华文中宋" w:hAnsi="华文中宋" w:eastAsia="华文中宋"/>
                <w:color w:val="000000"/>
                <w:sz w:val="28"/>
              </w:rPr>
            </w:pPr>
          </w:p>
          <w:p w14:paraId="1FBE19FF">
            <w:pPr>
              <w:spacing w:line="360" w:lineRule="exact"/>
              <w:rPr>
                <w:rFonts w:hint="eastAsia" w:ascii="华文中宋" w:hAnsi="华文中宋" w:eastAsia="华文中宋"/>
                <w:color w:val="000000"/>
                <w:sz w:val="28"/>
              </w:rPr>
            </w:pPr>
          </w:p>
          <w:p w14:paraId="335F9E92">
            <w:pPr>
              <w:widowControl/>
              <w:spacing w:line="360" w:lineRule="exact"/>
              <w:ind w:left="6430" w:leftChars="1862" w:hanging="2520" w:hangingChars="900"/>
              <w:rPr>
                <w:rFonts w:hint="eastAsia" w:ascii="华文中宋" w:hAnsi="华文中宋" w:eastAsia="华文中宋"/>
                <w:sz w:val="28"/>
                <w:szCs w:val="20"/>
              </w:rPr>
            </w:pPr>
            <w:r>
              <w:rPr>
                <w:rFonts w:hint="eastAsia" w:ascii="方正仿宋_GB2312"/>
                <w:color w:val="000000"/>
                <w:sz w:val="28"/>
              </w:rPr>
              <w:t xml:space="preserve">                                              </w:t>
            </w:r>
            <w:r>
              <w:rPr>
                <w:rFonts w:ascii="华文中宋" w:hAnsi="华文中宋" w:eastAsia="华文中宋"/>
                <w:color w:val="000000"/>
                <w:sz w:val="28"/>
              </w:rPr>
              <w:t xml:space="preserve">年  </w:t>
            </w:r>
            <w:r>
              <w:rPr>
                <w:rFonts w:hint="eastAsia" w:ascii="华文中宋" w:hAnsi="华文中宋" w:eastAsia="华文中宋"/>
                <w:color w:val="000000"/>
                <w:sz w:val="28"/>
              </w:rPr>
              <w:t>月</w:t>
            </w:r>
            <w:r>
              <w:rPr>
                <w:rFonts w:ascii="华文中宋" w:hAnsi="华文中宋" w:eastAsia="华文中宋"/>
                <w:color w:val="000000"/>
                <w:sz w:val="28"/>
              </w:rPr>
              <w:t xml:space="preserve">  </w:t>
            </w:r>
            <w:r>
              <w:rPr>
                <w:rFonts w:hint="eastAsia" w:ascii="华文中宋" w:hAnsi="华文中宋" w:eastAsia="华文中宋"/>
                <w:color w:val="000000"/>
                <w:sz w:val="28"/>
              </w:rPr>
              <w:t>日</w:t>
            </w:r>
          </w:p>
        </w:tc>
      </w:tr>
    </w:tbl>
    <w:p w14:paraId="2839F2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7C5E38C9-93E6-4047-855C-C27333CE2107}"/>
  </w:font>
  <w:font w:name="仿宋">
    <w:panose1 w:val="02010609060101010101"/>
    <w:charset w:val="86"/>
    <w:family w:val="auto"/>
    <w:pitch w:val="default"/>
    <w:sig w:usb0="800002BF" w:usb1="38CF7CFA" w:usb2="00000016" w:usb3="00000000" w:csb0="00040001" w:csb1="00000000"/>
    <w:embedRegular r:id="rId2" w:fontKey="{9B060A71-1449-4521-9D64-0A0B98F74112}"/>
  </w:font>
  <w:font w:name="方正小标宋简体">
    <w:panose1 w:val="02000000000000000000"/>
    <w:charset w:val="86"/>
    <w:family w:val="script"/>
    <w:pitch w:val="default"/>
    <w:sig w:usb0="00000001" w:usb1="08000000" w:usb2="00000000" w:usb3="00000000" w:csb0="00040000" w:csb1="00000000"/>
    <w:embedRegular r:id="rId3" w:fontKey="{066B56D5-8BC0-4326-9608-6077E021329D}"/>
  </w:font>
  <w:font w:name="华文中宋">
    <w:panose1 w:val="02010600040101010101"/>
    <w:charset w:val="86"/>
    <w:family w:val="auto"/>
    <w:pitch w:val="default"/>
    <w:sig w:usb0="00000287" w:usb1="080F0000" w:usb2="00000000" w:usb3="00000000" w:csb0="0004009F" w:csb1="DFD70000"/>
    <w:embedRegular r:id="rId4" w:fontKey="{9AC72C9D-5B6D-46E7-8754-0DBBE57B711F}"/>
  </w:font>
  <w:font w:name="仿宋_GB2312">
    <w:altName w:val="仿宋"/>
    <w:panose1 w:val="02010609030101010101"/>
    <w:charset w:val="86"/>
    <w:family w:val="modern"/>
    <w:pitch w:val="default"/>
    <w:sig w:usb0="00000000" w:usb1="00000000" w:usb2="00000000" w:usb3="00000000" w:csb0="00040000" w:csb1="00000000"/>
    <w:embedRegular r:id="rId5" w:fontKey="{E8941C2C-7DB1-4553-B23F-32C58F8BE59D}"/>
  </w:font>
  <w:font w:name="楷体">
    <w:panose1 w:val="02010609060101010101"/>
    <w:charset w:val="86"/>
    <w:family w:val="modern"/>
    <w:pitch w:val="default"/>
    <w:sig w:usb0="800002BF" w:usb1="38CF7CFA" w:usb2="00000016" w:usb3="00000000" w:csb0="00040001" w:csb1="00000000"/>
    <w:embedRegular r:id="rId6" w:fontKey="{A0EF8EE3-E133-439B-A6AB-437E91085561}"/>
  </w:font>
  <w:font w:name="方正仿宋_GB2312">
    <w:panose1 w:val="02000000000000000000"/>
    <w:charset w:val="86"/>
    <w:family w:val="auto"/>
    <w:pitch w:val="default"/>
    <w:sig w:usb0="A00002BF" w:usb1="184F6CFA" w:usb2="00000012" w:usb3="00000000" w:csb0="00040001" w:csb1="00000000"/>
    <w:embedRegular r:id="rId7" w:fontKey="{6F363CB7-3FD6-437D-AA0D-97D44CA7E6A5}"/>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2A3710"/>
    <w:rsid w:val="4A811448"/>
    <w:rsid w:val="51BC0756"/>
    <w:rsid w:val="54106B37"/>
    <w:rsid w:val="5C2A3710"/>
    <w:rsid w:val="6FBA333A"/>
    <w:rsid w:val="76CC0B8C"/>
    <w:rsid w:val="7A4F3B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pPr>
    <w:rPr>
      <w:rFonts w:ascii="宋体" w:hAnsi="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678</Words>
  <Characters>769</Characters>
  <Lines>0</Lines>
  <Paragraphs>0</Paragraphs>
  <TotalTime>41</TotalTime>
  <ScaleCrop>false</ScaleCrop>
  <LinksUpToDate>false</LinksUpToDate>
  <CharactersWithSpaces>877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2026-04-17T01:26:00Z</dcterms:created>
  <dc:creator>寒冰fj</dc:creator>
  <cp:lastModifiedBy>叶锦秀</cp:lastModifiedBy>
  <cp:lastPrinted>2026-04-17T02:17:00Z</cp:lastPrinted>
  <dcterms:modified xsi:type="dcterms:W3CDTF">2026-04-18T02:20:08Z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2E37886D786A49BEA526DF74DF4DA9CE_11</vt:lpwstr>
  </property>
  <property fmtid="{D5CDD505-2E9C-101B-9397-08002B2CF9AE}" pid="4" name="KSOTemplateDocerSaveRecord">
    <vt:lpwstr>eyJoZGlkIjoiYzQ0MGNiNjc5MTI5OWRjZTlmOTdmNThlMTkyMzJlMDgiLCJ1c2VySWQiOiI1NDMyNzAyMjYifQ==</vt:lpwstr>
  </property>
</Properties>
</file>