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DF074"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广播电视新闻专栏代表作基本情况</w:t>
      </w:r>
    </w:p>
    <w:p w14:paraId="2200CF78"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554"/>
        <w:gridCol w:w="963"/>
        <w:gridCol w:w="449"/>
        <w:gridCol w:w="1059"/>
        <w:gridCol w:w="992"/>
        <w:gridCol w:w="533"/>
        <w:gridCol w:w="1505"/>
        <w:gridCol w:w="316"/>
        <w:gridCol w:w="623"/>
        <w:gridCol w:w="1318"/>
      </w:tblGrid>
      <w:tr w14:paraId="01446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" w:hRule="atLeast"/>
          <w:jc w:val="center"/>
        </w:trPr>
        <w:tc>
          <w:tcPr>
            <w:tcW w:w="1519" w:type="dxa"/>
            <w:gridSpan w:val="2"/>
            <w:vAlign w:val="center"/>
          </w:tcPr>
          <w:p w14:paraId="53410C10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专栏名称</w:t>
            </w:r>
          </w:p>
        </w:tc>
        <w:tc>
          <w:tcPr>
            <w:tcW w:w="77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EF47A"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 w:cs="微软雅黑"/>
                <w:color w:val="000000"/>
                <w:sz w:val="28"/>
                <w:szCs w:val="20"/>
              </w:rPr>
              <w:t>海峡拼经济</w:t>
            </w:r>
          </w:p>
        </w:tc>
      </w:tr>
      <w:tr w14:paraId="7E371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" w:hRule="atLeast"/>
          <w:jc w:val="center"/>
        </w:trPr>
        <w:tc>
          <w:tcPr>
            <w:tcW w:w="1519" w:type="dxa"/>
            <w:gridSpan w:val="2"/>
            <w:vAlign w:val="center"/>
          </w:tcPr>
          <w:p w14:paraId="761C86D5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作品标题</w:t>
            </w:r>
          </w:p>
        </w:tc>
        <w:tc>
          <w:tcPr>
            <w:tcW w:w="77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3A667"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“福马同城”近在眼前 一日生活圈充满诗意</w:t>
            </w:r>
          </w:p>
        </w:tc>
      </w:tr>
      <w:tr w14:paraId="654FB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519" w:type="dxa"/>
            <w:gridSpan w:val="2"/>
            <w:vAlign w:val="center"/>
          </w:tcPr>
          <w:p w14:paraId="7DFBCCF9">
            <w:pPr>
              <w:spacing w:line="30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39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5B4AC">
            <w:pPr>
              <w:widowControl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  <w:r>
              <w:rPr>
                <w:rFonts w:ascii="仿宋" w:hAnsi="仿宋" w:eastAsia="仿宋"/>
                <w:sz w:val="28"/>
                <w:szCs w:val="28"/>
              </w:rPr>
              <w:t>024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sz w:val="28"/>
                <w:szCs w:val="28"/>
              </w:rPr>
              <w:t>12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月2</w:t>
            </w:r>
            <w:r>
              <w:rPr>
                <w:rFonts w:ascii="仿宋" w:hAnsi="仿宋" w:eastAsia="仿宋"/>
                <w:sz w:val="28"/>
                <w:szCs w:val="28"/>
              </w:rPr>
              <w:t>7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54E66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是否为</w:t>
            </w:r>
          </w:p>
          <w:p w14:paraId="67FC9235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“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三好作品</w:t>
            </w:r>
            <w:r>
              <w:rPr>
                <w:rFonts w:hint="eastAsia" w:ascii="Malgun Gothic Semilight" w:hAnsi="Malgun Gothic Semilight" w:eastAsia="Malgun Gothic Semilight" w:cs="Malgun Gothic Semilight"/>
                <w:color w:val="000000"/>
                <w:sz w:val="28"/>
                <w:szCs w:val="20"/>
              </w:rPr>
              <w:t>”</w:t>
            </w: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3A0A3"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 w:cs="微软雅黑"/>
                <w:color w:val="000000"/>
                <w:sz w:val="28"/>
                <w:szCs w:val="20"/>
              </w:rPr>
              <w:t>否</w:t>
            </w:r>
          </w:p>
        </w:tc>
      </w:tr>
      <w:tr w14:paraId="47FF6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  <w:jc w:val="center"/>
        </w:trPr>
        <w:tc>
          <w:tcPr>
            <w:tcW w:w="965" w:type="dxa"/>
            <w:vAlign w:val="center"/>
          </w:tcPr>
          <w:p w14:paraId="0101F667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作</w:t>
            </w:r>
          </w:p>
          <w:p w14:paraId="131AF54C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品</w:t>
            </w:r>
          </w:p>
          <w:p w14:paraId="5B51992A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评</w:t>
            </w:r>
          </w:p>
          <w:p w14:paraId="4F355ED6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介</w:t>
            </w:r>
          </w:p>
        </w:tc>
        <w:tc>
          <w:tcPr>
            <w:tcW w:w="83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433A8">
            <w:pPr>
              <w:spacing w:line="240" w:lineRule="exact"/>
              <w:ind w:firstLine="48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本期作品选题独特、视角新颖、细节鲜活，聚焦福马、厦金两个“同城生活圈”建设提质加速的最新情况。无论是两位与马祖颇有渊源的台青来到连江古石村感受“福马一日生活圈”的诗意，感叹“里山”（连江）“外山”（马祖）距离如此之近，还是金门暌违五年再度迎来福建游客，昔日战地转型文旅胜地盛邀大陆宾朋，均是结合当前两岸最热点话题进行深度挖掘。节目同时关注台胞台青登陆创业就业的新情况，无一不凸显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两岸间</w:t>
            </w:r>
            <w:r>
              <w:rPr>
                <w:rFonts w:hint="eastAsia" w:ascii="仿宋" w:hAnsi="仿宋" w:eastAsia="仿宋"/>
                <w:sz w:val="24"/>
              </w:rPr>
              <w:t>割舍不断的同胞亲缘以及</w:t>
            </w:r>
            <w:r>
              <w:rPr>
                <w:rFonts w:hint="eastAsia" w:ascii="仿宋" w:hAnsi="仿宋" w:eastAsia="仿宋" w:cs="宋体"/>
                <w:sz w:val="24"/>
              </w:rPr>
              <w:t>两岸融合之势不可挡，具有深远立意的同时兼具打动人心的鲜活细节。节目经由有效、实质的入岛传播，给岛内观众带来大陆经济建设最新视角，以及大陆持续推动两岸融合发展的善意，具有较高的社会意义。</w:t>
            </w:r>
          </w:p>
        </w:tc>
      </w:tr>
      <w:tr w14:paraId="7BC8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8" w:hRule="atLeast"/>
          <w:jc w:val="center"/>
        </w:trPr>
        <w:tc>
          <w:tcPr>
            <w:tcW w:w="965" w:type="dxa"/>
            <w:vAlign w:val="center"/>
          </w:tcPr>
          <w:p w14:paraId="1F24EDDD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采</w:t>
            </w:r>
          </w:p>
          <w:p w14:paraId="338F8153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编</w:t>
            </w:r>
          </w:p>
          <w:p w14:paraId="6C048544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过</w:t>
            </w:r>
          </w:p>
          <w:p w14:paraId="3C09B86F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程</w:t>
            </w:r>
          </w:p>
        </w:tc>
        <w:tc>
          <w:tcPr>
            <w:tcW w:w="83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1D88E">
            <w:pPr>
              <w:widowControl/>
              <w:spacing w:line="260" w:lineRule="exact"/>
              <w:ind w:firstLine="480" w:firstLineChars="200"/>
              <w:rPr>
                <w:rFonts w:ascii="仿宋_GB2312" w:hAnsi="华文仿宋" w:eastAsia="仿宋_GB2312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hint="eastAsia" w:ascii="仿宋" w:hAnsi="仿宋" w:eastAsia="仿宋" w:cs="宋体"/>
                <w:bCs/>
                <w:sz w:val="24"/>
              </w:rPr>
              <w:t>2</w:t>
            </w:r>
            <w:r>
              <w:rPr>
                <w:rFonts w:ascii="仿宋" w:hAnsi="仿宋" w:eastAsia="仿宋" w:cs="宋体"/>
                <w:bCs/>
                <w:sz w:val="24"/>
              </w:rPr>
              <w:t>024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年，厦金、福马两个“一日生活圈”再度活络，专题《</w:t>
            </w:r>
            <w:r>
              <w:rPr>
                <w:rFonts w:hint="eastAsia" w:ascii="仿宋" w:hAnsi="仿宋" w:eastAsia="仿宋"/>
                <w:sz w:val="24"/>
              </w:rPr>
              <w:t>“福马同城”近在眼前 一日生活圈充满诗意》将台青登陆发展、“环马祖澳”滨海文旅开发、“福马同城圈”建设加速、“福马小三通”活络观光、“福马产业园”建设开启新篇等元素深度串联，以讲故事的方式娓娓道来、层层递进，以“润物细无声”的方式实现有效入岛传播。该作品依托福建省广播影视集团卫视中心自有的台海融合传播矩阵（大陆对台宣传第一窗口），加上台湾东森新闻旗下的交互式社群媒体平台，除在两岸电视端播出外，更经由东森新闻的Facebook、Youtube账号，“海峡新干线”的抖音、头条号，“海峡拼经济”华人头条号等境内外平台播发，达到较好的境外传播效果。节目全网触达人群1.46亿，播放量超960万次。</w:t>
            </w:r>
            <w:bookmarkEnd w:id="0"/>
          </w:p>
        </w:tc>
      </w:tr>
      <w:tr w14:paraId="744B5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  <w:jc w:val="center"/>
        </w:trPr>
        <w:tc>
          <w:tcPr>
            <w:tcW w:w="965" w:type="dxa"/>
            <w:vAlign w:val="center"/>
          </w:tcPr>
          <w:p w14:paraId="6CD1D2A4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社</w:t>
            </w:r>
          </w:p>
          <w:p w14:paraId="4C3226CB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会</w:t>
            </w:r>
          </w:p>
          <w:p w14:paraId="331BA87E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效</w:t>
            </w:r>
          </w:p>
          <w:p w14:paraId="41891BAA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83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A83CD">
            <w:pPr>
              <w:spacing w:line="240" w:lineRule="exact"/>
              <w:ind w:firstLine="48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bCs/>
                <w:sz w:val="24"/>
              </w:rPr>
              <w:t>作为唯一一档由两岸主流媒体合作播出的节目，该作品在海峡卫视和台湾东森新闻频道两个电视端播出，具有“双入岛”属性。根据岛内第三方独立收视调查公司数据显示，节目在五个入岛播出时段收视中拿下一个第一名、三个第二名，显示岛内观众对节目内容具有极高的关注度，具有很好的入岛宣传效果。同时，“东森新闻”旗下Facebook、Youtube两大交互式社群媒体平台账号，粉丝数合计950万，均开设“海峡拼经济”粉丝专页。本期节目以“福马观光迎向高峰”为标题引语在海外平台播发，引发网友热烈讨论及话题互动。作品更经由拆条分发，</w:t>
            </w:r>
            <w:r>
              <w:rPr>
                <w:rFonts w:ascii="仿宋" w:hAnsi="仿宋" w:eastAsia="仿宋" w:cs="宋体"/>
                <w:bCs/>
                <w:sz w:val="24"/>
              </w:rPr>
              <w:t>在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Facebook、Youtube、抖音、华人头条等境内外</w:t>
            </w:r>
            <w:r>
              <w:rPr>
                <w:rFonts w:ascii="仿宋" w:hAnsi="仿宋" w:eastAsia="仿宋" w:cs="宋体"/>
                <w:bCs/>
                <w:sz w:val="24"/>
              </w:rPr>
              <w:t>多平台播出，粉丝触达量庞大，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为增进两岸人民相互了解和彼此认同、提升大陆影响力作出贡献。</w:t>
            </w:r>
          </w:p>
        </w:tc>
      </w:tr>
      <w:tr w14:paraId="1E400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5" w:type="dxa"/>
            <w:vMerge w:val="restart"/>
            <w:vAlign w:val="center"/>
          </w:tcPr>
          <w:p w14:paraId="50145F3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</w:rPr>
              <w:t>传</w:t>
            </w:r>
          </w:p>
          <w:p w14:paraId="69BDDCD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</w:rPr>
              <w:t>播</w:t>
            </w:r>
          </w:p>
          <w:p w14:paraId="1271D46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</w:rPr>
              <w:t>数</w:t>
            </w:r>
          </w:p>
          <w:p w14:paraId="1D681F5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</w:rPr>
              <w:t>据</w:t>
            </w:r>
          </w:p>
        </w:tc>
        <w:tc>
          <w:tcPr>
            <w:tcW w:w="1517" w:type="dxa"/>
            <w:gridSpan w:val="2"/>
            <w:vMerge w:val="restart"/>
            <w:vAlign w:val="center"/>
          </w:tcPr>
          <w:p w14:paraId="74E18FAF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B448E36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49" w:type="dxa"/>
            <w:vAlign w:val="center"/>
          </w:tcPr>
          <w:p w14:paraId="6F047A19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346" w:type="dxa"/>
            <w:gridSpan w:val="7"/>
            <w:vAlign w:val="center"/>
          </w:tcPr>
          <w:p w14:paraId="0B83BCBD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http://www.52hrtt.com/mobileview/info/video/videoInfo?isApp=1&amp;id=G1735180755971&amp;areaId=global&amp;languageId=1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</w:tc>
      </w:tr>
      <w:tr w14:paraId="38BD0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5" w:type="dxa"/>
            <w:vMerge w:val="continue"/>
            <w:vAlign w:val="center"/>
          </w:tcPr>
          <w:p w14:paraId="6910326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Merge w:val="continue"/>
            <w:vAlign w:val="center"/>
          </w:tcPr>
          <w:p w14:paraId="34BA561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49" w:type="dxa"/>
            <w:vAlign w:val="center"/>
          </w:tcPr>
          <w:p w14:paraId="7F835F06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346" w:type="dxa"/>
            <w:gridSpan w:val="7"/>
            <w:vAlign w:val="center"/>
          </w:tcPr>
          <w:p w14:paraId="0DCC9BC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https://www.youtube.com/watch?v=bPwr6uu5C68&amp;list=PLp7hnLHxd1KGtVxZOi1tb8NAKoMaH3mUV&amp;index=61</w:t>
            </w:r>
          </w:p>
        </w:tc>
      </w:tr>
      <w:tr w14:paraId="46847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5" w:type="dxa"/>
            <w:vMerge w:val="continue"/>
            <w:vAlign w:val="center"/>
          </w:tcPr>
          <w:p w14:paraId="3E2ED60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Merge w:val="continue"/>
            <w:vAlign w:val="center"/>
          </w:tcPr>
          <w:p w14:paraId="16222B6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49" w:type="dxa"/>
            <w:vAlign w:val="center"/>
          </w:tcPr>
          <w:p w14:paraId="0BAC3391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346" w:type="dxa"/>
            <w:gridSpan w:val="7"/>
            <w:vAlign w:val="center"/>
          </w:tcPr>
          <w:p w14:paraId="2E6A4159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0A26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965" w:type="dxa"/>
            <w:vMerge w:val="continue"/>
            <w:vAlign w:val="center"/>
          </w:tcPr>
          <w:p w14:paraId="11B9309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Align w:val="center"/>
          </w:tcPr>
          <w:p w14:paraId="0EEDA140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508" w:type="dxa"/>
            <w:gridSpan w:val="2"/>
            <w:vAlign w:val="center"/>
          </w:tcPr>
          <w:p w14:paraId="4E2BAB31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9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60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万次</w:t>
            </w:r>
          </w:p>
        </w:tc>
        <w:tc>
          <w:tcPr>
            <w:tcW w:w="992" w:type="dxa"/>
            <w:vAlign w:val="center"/>
          </w:tcPr>
          <w:p w14:paraId="0BDAB113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2038" w:type="dxa"/>
            <w:gridSpan w:val="2"/>
            <w:vAlign w:val="center"/>
          </w:tcPr>
          <w:p w14:paraId="5767E5AB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39" w:type="dxa"/>
            <w:gridSpan w:val="2"/>
            <w:vAlign w:val="center"/>
          </w:tcPr>
          <w:p w14:paraId="1826CF34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18" w:type="dxa"/>
            <w:vAlign w:val="center"/>
          </w:tcPr>
          <w:p w14:paraId="38BD51B7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1200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+次</w:t>
            </w:r>
          </w:p>
        </w:tc>
      </w:tr>
    </w:tbl>
    <w:p w14:paraId="4704F79E">
      <w:pPr>
        <w:spacing w:line="560" w:lineRule="exact"/>
        <w:ind w:firstLine="420" w:firstLineChars="150"/>
        <w:jc w:val="left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（上、下半年代表作前各附1张）</w:t>
      </w:r>
    </w:p>
    <w:p w14:paraId="0A99CF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17"/>
    <w:rsid w:val="00910617"/>
    <w:rsid w:val="00AD34F2"/>
    <w:rsid w:val="00CE2F54"/>
    <w:rsid w:val="00DA5546"/>
    <w:rsid w:val="00DF096B"/>
    <w:rsid w:val="04C66925"/>
    <w:rsid w:val="74FE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1065</Words>
  <Characters>1321</Characters>
  <Lines>10</Lines>
  <Paragraphs>2</Paragraphs>
  <TotalTime>11</TotalTime>
  <ScaleCrop>false</ScaleCrop>
  <LinksUpToDate>false</LinksUpToDate>
  <CharactersWithSpaces>1324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2025-04-07T02:59:00Z</dcterms:created>
  <dc:creator>祁菲</dc:creator>
  <cp:lastModifiedBy>七夕</cp:lastModifiedBy>
  <dcterms:modified xsi:type="dcterms:W3CDTF">2025-04-09T04:05:01Z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eyJoZGlkIjoiMmE1M2Y0OTI5NzZjNTUwNWZjOTQ2MTI4YTExMDYzNDciLCJ1c2VySWQiOiIyOTA3NjI1NDMifQ==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612AE959D76142EDBE5B3BEA3A2634B6_12</vt:lpwstr>
  </property>
</Properties>
</file>