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817BA">
      <w:pPr>
        <w:widowControl w:val="0"/>
        <w:spacing w:line="520" w:lineRule="exact"/>
        <w:rPr>
          <w:rFonts w:hint="eastAsia" w:ascii="黑体" w:hAnsi="黑体" w:eastAsia="黑体" w:cs="仿宋"/>
          <w:kern w:val="0"/>
          <w:sz w:val="32"/>
          <w:szCs w:val="32"/>
          <w:lang w:val="zh-CN"/>
        </w:rPr>
      </w:pPr>
      <w:r>
        <w:rPr>
          <w:rFonts w:hint="eastAsia" w:ascii="黑体" w:hAnsi="黑体" w:eastAsia="黑体" w:cs="仿宋"/>
          <w:kern w:val="0"/>
          <w:sz w:val="32"/>
          <w:szCs w:val="32"/>
          <w:lang w:val="zh-CN"/>
        </w:rPr>
        <w:t xml:space="preserve">附件4 </w:t>
      </w:r>
    </w:p>
    <w:p w14:paraId="62CCF50F">
      <w:pPr>
        <w:widowControl w:val="0"/>
        <w:spacing w:line="240" w:lineRule="exact"/>
        <w:rPr>
          <w:rFonts w:hint="eastAsia" w:ascii="黑体" w:hAnsi="黑体" w:eastAsia="黑体" w:cs="仿宋"/>
          <w:kern w:val="0"/>
          <w:sz w:val="32"/>
          <w:szCs w:val="32"/>
          <w:lang w:val="zh-CN"/>
        </w:rPr>
      </w:pPr>
    </w:p>
    <w:p w14:paraId="04C2CB07">
      <w:pPr>
        <w:widowControl w:val="0"/>
        <w:spacing w:line="560" w:lineRule="exact"/>
        <w:jc w:val="center"/>
        <w:rPr>
          <w:rFonts w:hint="eastAsia" w:ascii="方正小标宋简体" w:hAnsi="华文中宋" w:eastAsia="方正小标宋简体"/>
          <w:sz w:val="44"/>
          <w:szCs w:val="36"/>
        </w:rPr>
      </w:pPr>
      <w:r>
        <w:rPr>
          <w:rFonts w:hint="eastAsia" w:ascii="方正小标宋简体" w:hAnsi="华文中宋" w:eastAsia="方正小标宋简体"/>
          <w:sz w:val="44"/>
          <w:szCs w:val="36"/>
        </w:rPr>
        <w:t>报纸、通讯社新闻专栏代表作基本情况</w:t>
      </w:r>
    </w:p>
    <w:p w14:paraId="7B6ACE8F">
      <w:pPr>
        <w:widowControl w:val="0"/>
        <w:autoSpaceDE w:val="0"/>
        <w:autoSpaceDN w:val="0"/>
        <w:adjustRightInd w:val="0"/>
        <w:spacing w:line="200" w:lineRule="exact"/>
        <w:jc w:val="both"/>
        <w:rPr>
          <w:rFonts w:ascii="仿宋_GB2312" w:hAnsi="仿宋" w:eastAsia="仿宋_GB2312" w:cs="华文中宋"/>
          <w:sz w:val="24"/>
          <w:szCs w:val="24"/>
        </w:rPr>
      </w:pPr>
    </w:p>
    <w:tbl>
      <w:tblPr>
        <w:tblStyle w:val="4"/>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30"/>
        <w:gridCol w:w="1241"/>
        <w:gridCol w:w="178"/>
        <w:gridCol w:w="453"/>
        <w:gridCol w:w="1159"/>
        <w:gridCol w:w="992"/>
        <w:gridCol w:w="576"/>
        <w:gridCol w:w="1409"/>
        <w:gridCol w:w="344"/>
        <w:gridCol w:w="648"/>
        <w:gridCol w:w="1500"/>
      </w:tblGrid>
      <w:tr w14:paraId="4A261D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0" w:hRule="atLeast"/>
          <w:jc w:val="center"/>
        </w:trPr>
        <w:tc>
          <w:tcPr>
            <w:tcW w:w="2071" w:type="dxa"/>
            <w:gridSpan w:val="2"/>
            <w:vAlign w:val="center"/>
          </w:tcPr>
          <w:p w14:paraId="602F66D0">
            <w:pPr>
              <w:pStyle w:val="8"/>
              <w:autoSpaceDE/>
              <w:autoSpaceDN/>
              <w:spacing w:line="320" w:lineRule="exact"/>
              <w:jc w:val="center"/>
              <w:rPr>
                <w:rFonts w:ascii="华文中宋" w:eastAsia="华文中宋"/>
                <w:sz w:val="28"/>
                <w:lang w:val="en-US"/>
              </w:rPr>
            </w:pPr>
            <w:r>
              <w:rPr>
                <w:rFonts w:hint="eastAsia" w:ascii="华文中宋" w:eastAsia="华文中宋"/>
                <w:sz w:val="28"/>
                <w:lang w:val="en-US"/>
              </w:rPr>
              <w:t>专栏名称</w:t>
            </w:r>
          </w:p>
        </w:tc>
        <w:tc>
          <w:tcPr>
            <w:tcW w:w="7259" w:type="dxa"/>
            <w:gridSpan w:val="9"/>
          </w:tcPr>
          <w:p w14:paraId="2EEFEFD6">
            <w:pPr>
              <w:pStyle w:val="8"/>
              <w:spacing w:line="520" w:lineRule="exact"/>
              <w:ind w:firstLine="750" w:firstLineChars="250"/>
              <w:rPr>
                <w:rFonts w:ascii="Times New Roman"/>
                <w:sz w:val="30"/>
              </w:rPr>
            </w:pPr>
            <w:r>
              <w:rPr>
                <w:rFonts w:hint="eastAsia" w:ascii="Times New Roman"/>
                <w:sz w:val="30"/>
              </w:rPr>
              <w:t>《民企会客厅》</w:t>
            </w:r>
          </w:p>
        </w:tc>
      </w:tr>
      <w:tr w14:paraId="4032DD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30" w:hRule="atLeast"/>
          <w:jc w:val="center"/>
        </w:trPr>
        <w:tc>
          <w:tcPr>
            <w:tcW w:w="2071" w:type="dxa"/>
            <w:gridSpan w:val="2"/>
            <w:vAlign w:val="center"/>
          </w:tcPr>
          <w:p w14:paraId="074ADD0D">
            <w:pPr>
              <w:pStyle w:val="8"/>
              <w:autoSpaceDE/>
              <w:autoSpaceDN/>
              <w:spacing w:line="320" w:lineRule="exact"/>
              <w:jc w:val="center"/>
              <w:rPr>
                <w:rFonts w:hint="eastAsia" w:ascii="华文中宋" w:eastAsia="华文中宋"/>
                <w:sz w:val="28"/>
              </w:rPr>
            </w:pPr>
            <w:r>
              <w:rPr>
                <w:rFonts w:hint="eastAsia" w:ascii="华文中宋" w:eastAsia="华文中宋"/>
                <w:sz w:val="28"/>
                <w:lang w:val="en-US"/>
              </w:rPr>
              <w:t>代表作</w:t>
            </w:r>
            <w:r>
              <w:rPr>
                <w:rFonts w:hint="eastAsia" w:ascii="华文中宋" w:eastAsia="华文中宋"/>
                <w:sz w:val="28"/>
              </w:rPr>
              <w:t>标题</w:t>
            </w:r>
          </w:p>
        </w:tc>
        <w:tc>
          <w:tcPr>
            <w:tcW w:w="7259" w:type="dxa"/>
            <w:gridSpan w:val="9"/>
          </w:tcPr>
          <w:p w14:paraId="6B75202A">
            <w:pPr>
              <w:ind w:firstLine="140" w:firstLineChars="50"/>
              <w:rPr>
                <w:sz w:val="30"/>
              </w:rPr>
            </w:pPr>
            <w:r>
              <w:rPr>
                <w:rFonts w:hint="eastAsia" w:ascii="仿宋_GB2312" w:eastAsia="仿宋_GB2312"/>
                <w:sz w:val="28"/>
              </w:rPr>
              <w:t>中国品牌崛起呼唤世遗泉州力量</w:t>
            </w:r>
          </w:p>
        </w:tc>
      </w:tr>
      <w:tr w14:paraId="75477E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64" w:hRule="atLeast"/>
          <w:jc w:val="center"/>
        </w:trPr>
        <w:tc>
          <w:tcPr>
            <w:tcW w:w="2071" w:type="dxa"/>
            <w:gridSpan w:val="2"/>
            <w:vAlign w:val="center"/>
          </w:tcPr>
          <w:p w14:paraId="6A9ADCF4">
            <w:pPr>
              <w:pStyle w:val="8"/>
              <w:autoSpaceDE/>
              <w:autoSpaceDN/>
              <w:spacing w:line="320" w:lineRule="exact"/>
              <w:jc w:val="center"/>
              <w:rPr>
                <w:rFonts w:ascii="华文中宋" w:eastAsia="华文中宋"/>
                <w:sz w:val="28"/>
              </w:rPr>
            </w:pPr>
            <w:r>
              <w:rPr>
                <w:rFonts w:hint="eastAsia" w:ascii="华文中宋" w:eastAsia="华文中宋"/>
                <w:sz w:val="28"/>
              </w:rPr>
              <w:t>发表日期</w:t>
            </w:r>
          </w:p>
        </w:tc>
        <w:tc>
          <w:tcPr>
            <w:tcW w:w="3358" w:type="dxa"/>
            <w:gridSpan w:val="5"/>
          </w:tcPr>
          <w:p w14:paraId="6B3953D7">
            <w:pPr>
              <w:pStyle w:val="8"/>
              <w:tabs>
                <w:tab w:val="left" w:pos="1410"/>
                <w:tab w:val="left" w:pos="2250"/>
              </w:tabs>
              <w:autoSpaceDE/>
              <w:autoSpaceDN/>
              <w:spacing w:line="520" w:lineRule="exact"/>
              <w:ind w:left="11"/>
              <w:jc w:val="center"/>
              <w:rPr>
                <w:sz w:val="28"/>
              </w:rPr>
            </w:pPr>
            <w:r>
              <w:rPr>
                <w:rFonts w:hint="eastAsia"/>
                <w:sz w:val="28"/>
              </w:rPr>
              <w:t>2024</w:t>
            </w:r>
            <w:r>
              <w:rPr>
                <w:sz w:val="28"/>
              </w:rPr>
              <w:t>年</w:t>
            </w:r>
            <w:r>
              <w:rPr>
                <w:rFonts w:hint="eastAsia"/>
                <w:sz w:val="28"/>
              </w:rPr>
              <w:t>10</w:t>
            </w:r>
            <w:r>
              <w:rPr>
                <w:sz w:val="28"/>
              </w:rPr>
              <w:t>月</w:t>
            </w:r>
            <w:r>
              <w:rPr>
                <w:rFonts w:hint="eastAsia"/>
                <w:sz w:val="28"/>
              </w:rPr>
              <w:t>30</w:t>
            </w:r>
            <w:r>
              <w:rPr>
                <w:sz w:val="28"/>
              </w:rPr>
              <w:t>日</w:t>
            </w:r>
          </w:p>
        </w:tc>
        <w:tc>
          <w:tcPr>
            <w:tcW w:w="1753" w:type="dxa"/>
            <w:gridSpan w:val="2"/>
          </w:tcPr>
          <w:p w14:paraId="7473FBA6">
            <w:pPr>
              <w:pStyle w:val="8"/>
              <w:tabs>
                <w:tab w:val="left" w:pos="1410"/>
                <w:tab w:val="left" w:pos="2250"/>
              </w:tabs>
              <w:autoSpaceDE/>
              <w:autoSpaceDN/>
              <w:spacing w:line="320" w:lineRule="exact"/>
              <w:jc w:val="center"/>
              <w:rPr>
                <w:rFonts w:hint="eastAsia" w:ascii="华文中宋" w:eastAsia="华文中宋"/>
                <w:sz w:val="28"/>
                <w:lang w:val="en-US"/>
              </w:rPr>
            </w:pPr>
            <w:r>
              <w:rPr>
                <w:rFonts w:hint="eastAsia" w:ascii="华文中宋" w:eastAsia="华文中宋"/>
                <w:sz w:val="28"/>
                <w:lang w:val="en-US"/>
              </w:rPr>
              <w:t>是否为</w:t>
            </w:r>
          </w:p>
          <w:p w14:paraId="71D56C1F">
            <w:pPr>
              <w:pStyle w:val="8"/>
              <w:tabs>
                <w:tab w:val="left" w:pos="1410"/>
                <w:tab w:val="left" w:pos="2250"/>
              </w:tabs>
              <w:autoSpaceDE/>
              <w:autoSpaceDN/>
              <w:spacing w:line="320" w:lineRule="exact"/>
              <w:jc w:val="center"/>
              <w:rPr>
                <w:sz w:val="28"/>
                <w:lang w:val="en-US"/>
              </w:rPr>
            </w:pPr>
            <w:r>
              <w:rPr>
                <w:rFonts w:hint="eastAsia" w:ascii="华文中宋" w:eastAsia="华文中宋"/>
                <w:sz w:val="28"/>
                <w:lang w:val="en-US"/>
              </w:rPr>
              <w:t>“三好作品”</w:t>
            </w:r>
          </w:p>
        </w:tc>
        <w:tc>
          <w:tcPr>
            <w:tcW w:w="2148" w:type="dxa"/>
            <w:gridSpan w:val="2"/>
          </w:tcPr>
          <w:p w14:paraId="62157F6A">
            <w:pPr>
              <w:pStyle w:val="8"/>
              <w:tabs>
                <w:tab w:val="left" w:pos="1410"/>
                <w:tab w:val="left" w:pos="2250"/>
              </w:tabs>
              <w:autoSpaceDE/>
              <w:autoSpaceDN/>
              <w:spacing w:line="520" w:lineRule="exact"/>
              <w:ind w:left="11"/>
              <w:jc w:val="center"/>
              <w:rPr>
                <w:rFonts w:hint="eastAsia"/>
                <w:sz w:val="28"/>
              </w:rPr>
            </w:pPr>
            <w:r>
              <w:rPr>
                <w:rFonts w:hint="eastAsia"/>
                <w:sz w:val="28"/>
              </w:rPr>
              <w:t>否</w:t>
            </w:r>
          </w:p>
        </w:tc>
      </w:tr>
      <w:tr w14:paraId="79CEA4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030" w:hRule="atLeast"/>
          <w:jc w:val="center"/>
        </w:trPr>
        <w:tc>
          <w:tcPr>
            <w:tcW w:w="830" w:type="dxa"/>
            <w:vAlign w:val="center"/>
          </w:tcPr>
          <w:p w14:paraId="44871233">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作</w:t>
            </w:r>
          </w:p>
          <w:p w14:paraId="2FE90C00">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品</w:t>
            </w:r>
          </w:p>
          <w:p w14:paraId="0C20FFE0">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w:t>
            </w:r>
          </w:p>
          <w:p w14:paraId="5B1CD562">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介</w:t>
            </w:r>
          </w:p>
        </w:tc>
        <w:tc>
          <w:tcPr>
            <w:tcW w:w="8500" w:type="dxa"/>
            <w:gridSpan w:val="10"/>
          </w:tcPr>
          <w:p w14:paraId="051E91A0">
            <w:pPr>
              <w:pStyle w:val="8"/>
              <w:tabs>
                <w:tab w:val="left" w:pos="1410"/>
                <w:tab w:val="left" w:pos="2250"/>
              </w:tabs>
              <w:autoSpaceDE/>
              <w:autoSpaceDN/>
              <w:spacing w:line="360" w:lineRule="exact"/>
              <w:ind w:left="10" w:leftChars="5" w:firstLine="480" w:firstLineChars="200"/>
              <w:rPr>
                <w:sz w:val="24"/>
                <w:szCs w:val="24"/>
              </w:rPr>
            </w:pPr>
            <w:r>
              <w:rPr>
                <w:rFonts w:hint="eastAsia"/>
                <w:sz w:val="24"/>
                <w:szCs w:val="24"/>
              </w:rPr>
              <w:t>随着国潮文化以及新一代消费主力的崛起，时尚产业展现出强劲的带动力，成为各大城市竞相加码培育的增长新引擎。</w:t>
            </w:r>
          </w:p>
          <w:p w14:paraId="0B0861BA">
            <w:pPr>
              <w:pStyle w:val="8"/>
              <w:tabs>
                <w:tab w:val="left" w:pos="1410"/>
                <w:tab w:val="left" w:pos="2250"/>
              </w:tabs>
              <w:autoSpaceDE/>
              <w:autoSpaceDN/>
              <w:spacing w:line="360" w:lineRule="exact"/>
              <w:ind w:left="10" w:leftChars="5" w:firstLine="480" w:firstLineChars="200"/>
              <w:rPr>
                <w:sz w:val="24"/>
                <w:szCs w:val="24"/>
              </w:rPr>
            </w:pPr>
            <w:r>
              <w:rPr>
                <w:rFonts w:hint="eastAsia"/>
                <w:sz w:val="24"/>
                <w:szCs w:val="24"/>
              </w:rPr>
              <w:t>本期《民企会客厅》专栏作品以“泉州时尚产业联盟”成立作为切入点，邀请知名民营企业家对话，从城市文化基因、雄厚产业基础、对标国际经验等维度，探讨泉州从“制造强市”向“世界时尚之都”迈进的强大基础优势，并点赞</w:t>
            </w:r>
            <w:r>
              <w:rPr>
                <w:sz w:val="24"/>
                <w:szCs w:val="24"/>
              </w:rPr>
              <w:t>心无旁骛、一以贯之、做强主业</w:t>
            </w:r>
            <w:r>
              <w:rPr>
                <w:rFonts w:hint="eastAsia"/>
                <w:sz w:val="24"/>
                <w:szCs w:val="24"/>
              </w:rPr>
              <w:t>的企业家精神</w:t>
            </w:r>
            <w:r>
              <w:rPr>
                <w:sz w:val="24"/>
                <w:szCs w:val="24"/>
              </w:rPr>
              <w:t>。</w:t>
            </w:r>
          </w:p>
        </w:tc>
      </w:tr>
      <w:tr w14:paraId="2B3326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236" w:hRule="atLeast"/>
          <w:jc w:val="center"/>
        </w:trPr>
        <w:tc>
          <w:tcPr>
            <w:tcW w:w="830" w:type="dxa"/>
            <w:vAlign w:val="center"/>
          </w:tcPr>
          <w:p w14:paraId="266593C8">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w:t>
            </w:r>
          </w:p>
          <w:p w14:paraId="1C7748A0">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w:t>
            </w:r>
          </w:p>
          <w:p w14:paraId="15FD501A">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w:t>
            </w:r>
          </w:p>
          <w:p w14:paraId="0E1F9F21">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w:t>
            </w:r>
          </w:p>
        </w:tc>
        <w:tc>
          <w:tcPr>
            <w:tcW w:w="8500" w:type="dxa"/>
            <w:gridSpan w:val="10"/>
          </w:tcPr>
          <w:p w14:paraId="0C248E4D">
            <w:pPr>
              <w:pStyle w:val="8"/>
              <w:tabs>
                <w:tab w:val="left" w:pos="1410"/>
                <w:tab w:val="left" w:pos="2250"/>
              </w:tabs>
              <w:autoSpaceDE/>
              <w:autoSpaceDN/>
              <w:spacing w:line="360" w:lineRule="exact"/>
              <w:ind w:left="10" w:leftChars="5" w:firstLine="480" w:firstLineChars="200"/>
              <w:rPr>
                <w:rFonts w:ascii="Times New Roman"/>
                <w:sz w:val="30"/>
                <w:lang w:val="en-US"/>
              </w:rPr>
            </w:pPr>
            <w:r>
              <w:rPr>
                <w:rFonts w:hint="eastAsia"/>
                <w:sz w:val="24"/>
                <w:szCs w:val="24"/>
              </w:rPr>
              <w:t>2024年10月25日，由23家龙头企业联合发起成立泉州时尚产业联盟，本报刊发《泉州时尚产业联盟成立》报道之后，引发了广泛热议。为进一步挖掘泉州打造“时尚之都”的底气与路径，《民企会客厅》专栏对时尚产业联盟成立事件深入追踪话题，邀请七匹狼董事长周少雄、九牧王董事长林聪颖和安踏执行董事吴永华三位知名民营企业家面对面，围绕泉州如何打造“时尚之都”这一新名片展开对话。报道采写通过知名企业家分享企业跨界实践案例，在内容架构上，以“城市精神—时尚底蕴—发展路径”为逻辑主线，层层递进，凸显权威性和代表性，增强报道的说服力。</w:t>
            </w:r>
          </w:p>
        </w:tc>
      </w:tr>
      <w:tr w14:paraId="5DE945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90" w:hRule="atLeast"/>
          <w:jc w:val="center"/>
        </w:trPr>
        <w:tc>
          <w:tcPr>
            <w:tcW w:w="830" w:type="dxa"/>
            <w:vAlign w:val="center"/>
          </w:tcPr>
          <w:p w14:paraId="6FBCEAC6">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社</w:t>
            </w:r>
          </w:p>
          <w:p w14:paraId="540333C0">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会</w:t>
            </w:r>
          </w:p>
          <w:p w14:paraId="07A4D27B">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效</w:t>
            </w:r>
          </w:p>
          <w:p w14:paraId="1896D00C">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8500" w:type="dxa"/>
            <w:gridSpan w:val="10"/>
          </w:tcPr>
          <w:p w14:paraId="7A289BE9">
            <w:pPr>
              <w:pStyle w:val="8"/>
              <w:tabs>
                <w:tab w:val="left" w:pos="1410"/>
                <w:tab w:val="left" w:pos="2250"/>
              </w:tabs>
              <w:autoSpaceDE/>
              <w:autoSpaceDN/>
              <w:spacing w:line="360" w:lineRule="exact"/>
              <w:ind w:left="10" w:leftChars="5" w:firstLine="480" w:firstLineChars="200"/>
              <w:rPr>
                <w:sz w:val="24"/>
                <w:szCs w:val="24"/>
              </w:rPr>
            </w:pPr>
            <w:r>
              <w:rPr>
                <w:rFonts w:hint="eastAsia"/>
                <w:sz w:val="24"/>
                <w:szCs w:val="24"/>
              </w:rPr>
              <w:t>本期对话嘉宾分量重、对话看点足、有说服力。稿件在《泉州晚报》刊发后，泉州通APP、泉州网、多个政务官方网站等全文转载，全网累计阅读量超10万。省级媒体、央媒纷纷跟进。在新浪微博、小红书等社交媒体平台上，#世遗泉州时尚之都 #世遗泉州非遗时尚秀等相关话题浏览量突破300万，报道热度持续发酵，引发各界人士的热烈反响。振奋人心的是，2025年3月泉州正式出台《泉州市打造“世遗泉州 时尚之都”三年行动方案（2025—2027年）》，全力推动泉州从“制造强市”向“时尚之都”延伸拓展，续写世遗泉州发展的崭新篇章。</w:t>
            </w:r>
          </w:p>
        </w:tc>
      </w:tr>
      <w:tr w14:paraId="3CC37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exact"/>
          <w:jc w:val="center"/>
        </w:trPr>
        <w:tc>
          <w:tcPr>
            <w:tcW w:w="830" w:type="dxa"/>
            <w:vMerge w:val="restart"/>
            <w:vAlign w:val="center"/>
          </w:tcPr>
          <w:p w14:paraId="0BA3F515">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68D3883F">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57AC29FC">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394A8568">
            <w:pPr>
              <w:spacing w:line="4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419" w:type="dxa"/>
            <w:gridSpan w:val="2"/>
            <w:vMerge w:val="restart"/>
            <w:vAlign w:val="center"/>
          </w:tcPr>
          <w:p w14:paraId="69FAE8E7">
            <w:pPr>
              <w:spacing w:line="320" w:lineRule="exact"/>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131A91CF">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453" w:type="dxa"/>
            <w:vAlign w:val="center"/>
          </w:tcPr>
          <w:p w14:paraId="2EECA6AC">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628" w:type="dxa"/>
            <w:gridSpan w:val="7"/>
            <w:vAlign w:val="center"/>
          </w:tcPr>
          <w:p w14:paraId="7F205495">
            <w:pPr>
              <w:spacing w:line="320" w:lineRule="exact"/>
              <w:rPr>
                <w:rFonts w:hint="eastAsia" w:ascii="仿宋" w:hAnsi="仿宋" w:eastAsia="仿宋"/>
                <w:color w:val="000000"/>
                <w:szCs w:val="21"/>
              </w:rPr>
            </w:pPr>
            <w:r>
              <w:rPr>
                <w:rFonts w:ascii="仿宋" w:hAnsi="仿宋" w:eastAsia="仿宋"/>
                <w:color w:val="000000"/>
                <w:sz w:val="20"/>
                <w:szCs w:val="13"/>
              </w:rPr>
              <w:t>https://www.qzwb.com/</w:t>
            </w:r>
          </w:p>
        </w:tc>
      </w:tr>
      <w:tr w14:paraId="5ACE8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830" w:type="dxa"/>
            <w:vMerge w:val="continue"/>
            <w:vAlign w:val="center"/>
          </w:tcPr>
          <w:p w14:paraId="55B64327">
            <w:pPr>
              <w:spacing w:line="520" w:lineRule="exact"/>
              <w:jc w:val="center"/>
              <w:rPr>
                <w:rFonts w:hint="eastAsia" w:ascii="华文中宋" w:hAnsi="华文中宋" w:eastAsia="华文中宋"/>
                <w:color w:val="000000"/>
                <w:sz w:val="28"/>
              </w:rPr>
            </w:pPr>
          </w:p>
        </w:tc>
        <w:tc>
          <w:tcPr>
            <w:tcW w:w="1419" w:type="dxa"/>
            <w:gridSpan w:val="2"/>
            <w:vMerge w:val="continue"/>
            <w:vAlign w:val="center"/>
          </w:tcPr>
          <w:p w14:paraId="4DEB197B">
            <w:pPr>
              <w:spacing w:line="320" w:lineRule="exact"/>
              <w:rPr>
                <w:rFonts w:hint="eastAsia" w:ascii="仿宋" w:hAnsi="仿宋" w:eastAsia="仿宋" w:cs="仿宋"/>
                <w:color w:val="000000"/>
                <w:sz w:val="24"/>
                <w:szCs w:val="18"/>
              </w:rPr>
            </w:pPr>
          </w:p>
        </w:tc>
        <w:tc>
          <w:tcPr>
            <w:tcW w:w="453" w:type="dxa"/>
            <w:vAlign w:val="center"/>
          </w:tcPr>
          <w:p w14:paraId="3730C77E">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628" w:type="dxa"/>
            <w:gridSpan w:val="7"/>
            <w:vAlign w:val="center"/>
          </w:tcPr>
          <w:p w14:paraId="379EE9DB">
            <w:pPr>
              <w:spacing w:line="320" w:lineRule="exact"/>
              <w:rPr>
                <w:rFonts w:hint="eastAsia" w:ascii="仿宋" w:hAnsi="仿宋" w:eastAsia="仿宋"/>
                <w:color w:val="000000"/>
                <w:szCs w:val="21"/>
              </w:rPr>
            </w:pPr>
          </w:p>
        </w:tc>
      </w:tr>
      <w:tr w14:paraId="297E4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exact"/>
          <w:jc w:val="center"/>
        </w:trPr>
        <w:tc>
          <w:tcPr>
            <w:tcW w:w="830" w:type="dxa"/>
            <w:vMerge w:val="continue"/>
            <w:vAlign w:val="center"/>
          </w:tcPr>
          <w:p w14:paraId="24EB60A8">
            <w:pPr>
              <w:spacing w:line="520" w:lineRule="exact"/>
              <w:jc w:val="center"/>
              <w:rPr>
                <w:rFonts w:hint="eastAsia" w:ascii="华文中宋" w:hAnsi="华文中宋" w:eastAsia="华文中宋"/>
                <w:color w:val="000000"/>
                <w:sz w:val="28"/>
              </w:rPr>
            </w:pPr>
          </w:p>
        </w:tc>
        <w:tc>
          <w:tcPr>
            <w:tcW w:w="1419" w:type="dxa"/>
            <w:gridSpan w:val="2"/>
            <w:vMerge w:val="continue"/>
            <w:vAlign w:val="center"/>
          </w:tcPr>
          <w:p w14:paraId="6A59E44F">
            <w:pPr>
              <w:spacing w:line="320" w:lineRule="exact"/>
              <w:rPr>
                <w:rFonts w:hint="eastAsia" w:ascii="仿宋" w:hAnsi="仿宋" w:eastAsia="仿宋" w:cs="仿宋"/>
                <w:color w:val="000000"/>
                <w:sz w:val="24"/>
                <w:szCs w:val="18"/>
              </w:rPr>
            </w:pPr>
          </w:p>
        </w:tc>
        <w:tc>
          <w:tcPr>
            <w:tcW w:w="453" w:type="dxa"/>
            <w:vAlign w:val="center"/>
          </w:tcPr>
          <w:p w14:paraId="4B57F2EB">
            <w:pPr>
              <w:spacing w:line="320" w:lineRule="exact"/>
              <w:jc w:val="cente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628" w:type="dxa"/>
            <w:gridSpan w:val="7"/>
            <w:vAlign w:val="center"/>
          </w:tcPr>
          <w:p w14:paraId="48D98F8F">
            <w:pPr>
              <w:spacing w:line="320" w:lineRule="exact"/>
              <w:rPr>
                <w:rFonts w:hint="eastAsia" w:ascii="仿宋" w:hAnsi="仿宋" w:eastAsia="仿宋"/>
                <w:color w:val="000000"/>
                <w:szCs w:val="21"/>
              </w:rPr>
            </w:pPr>
          </w:p>
        </w:tc>
      </w:tr>
      <w:tr w14:paraId="0EA0A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830" w:type="dxa"/>
            <w:vMerge w:val="continue"/>
            <w:vAlign w:val="center"/>
          </w:tcPr>
          <w:p w14:paraId="12629AFE">
            <w:pPr>
              <w:spacing w:line="520" w:lineRule="exact"/>
              <w:jc w:val="center"/>
              <w:rPr>
                <w:rFonts w:hint="eastAsia" w:ascii="华文中宋" w:hAnsi="华文中宋" w:eastAsia="华文中宋"/>
                <w:color w:val="000000"/>
                <w:sz w:val="28"/>
              </w:rPr>
            </w:pPr>
          </w:p>
        </w:tc>
        <w:tc>
          <w:tcPr>
            <w:tcW w:w="1419" w:type="dxa"/>
            <w:gridSpan w:val="2"/>
            <w:vAlign w:val="center"/>
          </w:tcPr>
          <w:p w14:paraId="6F1356AD">
            <w:pPr>
              <w:spacing w:line="320" w:lineRule="exact"/>
              <w:rPr>
                <w:rFonts w:hint="eastAsia" w:ascii="仿宋" w:hAnsi="仿宋" w:eastAsia="仿宋"/>
                <w:color w:val="000000"/>
                <w:sz w:val="22"/>
                <w:szCs w:val="16"/>
              </w:rPr>
            </w:pPr>
            <w:r>
              <w:rPr>
                <w:rFonts w:hint="eastAsia" w:ascii="仿宋" w:hAnsi="仿宋" w:eastAsia="仿宋" w:cs="仿宋"/>
                <w:color w:val="000000"/>
                <w:szCs w:val="21"/>
              </w:rPr>
              <w:t>阅读量（浏览量、点击量）</w:t>
            </w:r>
          </w:p>
        </w:tc>
        <w:tc>
          <w:tcPr>
            <w:tcW w:w="1612" w:type="dxa"/>
            <w:gridSpan w:val="2"/>
            <w:vAlign w:val="center"/>
          </w:tcPr>
          <w:p w14:paraId="439C06E6">
            <w:pPr>
              <w:spacing w:line="320" w:lineRule="exact"/>
              <w:rPr>
                <w:rFonts w:hint="eastAsia" w:ascii="仿宋" w:hAnsi="仿宋" w:eastAsia="仿宋"/>
                <w:color w:val="000000"/>
                <w:sz w:val="22"/>
                <w:szCs w:val="16"/>
              </w:rPr>
            </w:pPr>
            <w:bookmarkStart w:id="0" w:name="_GoBack"/>
            <w:r>
              <w:rPr>
                <w:rFonts w:hint="eastAsia" w:ascii="仿宋" w:hAnsi="仿宋" w:eastAsia="仿宋"/>
                <w:color w:val="000000"/>
                <w:sz w:val="22"/>
                <w:szCs w:val="16"/>
              </w:rPr>
              <w:t>10万+</w:t>
            </w:r>
            <w:bookmarkEnd w:id="0"/>
          </w:p>
        </w:tc>
        <w:tc>
          <w:tcPr>
            <w:tcW w:w="992" w:type="dxa"/>
            <w:vAlign w:val="center"/>
          </w:tcPr>
          <w:p w14:paraId="01B9DD98">
            <w:pPr>
              <w:spacing w:line="320" w:lineRule="exact"/>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2"/>
            <w:vAlign w:val="center"/>
          </w:tcPr>
          <w:p w14:paraId="7CA319EC">
            <w:pPr>
              <w:spacing w:line="320" w:lineRule="exact"/>
              <w:rPr>
                <w:rFonts w:hint="eastAsia" w:ascii="仿宋" w:hAnsi="仿宋" w:eastAsia="仿宋"/>
                <w:color w:val="000000"/>
                <w:szCs w:val="21"/>
              </w:rPr>
            </w:pPr>
          </w:p>
        </w:tc>
        <w:tc>
          <w:tcPr>
            <w:tcW w:w="992" w:type="dxa"/>
            <w:gridSpan w:val="2"/>
            <w:vAlign w:val="center"/>
          </w:tcPr>
          <w:p w14:paraId="6B77F6F4">
            <w:pPr>
              <w:spacing w:line="320" w:lineRule="exact"/>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500" w:type="dxa"/>
            <w:vAlign w:val="center"/>
          </w:tcPr>
          <w:p w14:paraId="44E6E84E">
            <w:pPr>
              <w:spacing w:line="320" w:lineRule="exact"/>
              <w:rPr>
                <w:rFonts w:hint="eastAsia" w:ascii="仿宋" w:hAnsi="仿宋" w:eastAsia="仿宋"/>
                <w:color w:val="000000"/>
                <w:szCs w:val="21"/>
              </w:rPr>
            </w:pPr>
          </w:p>
        </w:tc>
      </w:tr>
    </w:tbl>
    <w:p w14:paraId="726A7A8D">
      <w:pPr>
        <w:widowControl w:val="0"/>
        <w:rPr>
          <w:rFonts w:hint="eastAsia" w:ascii="楷体" w:hAnsi="楷体" w:eastAsia="楷体"/>
          <w:sz w:val="28"/>
        </w:rPr>
      </w:pPr>
      <w:r>
        <w:rPr>
          <w:rFonts w:hint="eastAsia" w:ascii="楷体" w:hAnsi="楷体" w:eastAsia="楷体"/>
          <w:sz w:val="28"/>
        </w:rPr>
        <w:t>此表可从中国记协网www.zgjx.cn下载，上、下半年代表作前各附1张。</w:t>
      </w:r>
    </w:p>
    <w:p w14:paraId="23C4BDB1">
      <w:r>
        <w:rPr>
          <w:rFonts w:ascii="楷体" w:hAnsi="楷体" w:eastAsia="楷体"/>
          <w:b/>
          <w:bCs/>
          <w:sz w:val="28"/>
          <w:szCs w:val="28"/>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C95FEA87-A5E8-4A64-9C00-7F272BA603E7}"/>
  </w:font>
  <w:font w:name="仿宋">
    <w:panose1 w:val="02010609060101010101"/>
    <w:charset w:val="86"/>
    <w:family w:val="modern"/>
    <w:pitch w:val="default"/>
    <w:sig w:usb0="800002BF" w:usb1="38CF7CFA" w:usb2="00000016" w:usb3="00000000" w:csb0="00040001" w:csb1="00000000"/>
    <w:embedRegular r:id="rId2" w:fontKey="{04038F60-483B-4ADF-8877-B69FF7AAFBE0}"/>
  </w:font>
  <w:font w:name="方正小标宋简体">
    <w:panose1 w:val="02000000000000000000"/>
    <w:charset w:val="86"/>
    <w:family w:val="script"/>
    <w:pitch w:val="default"/>
    <w:sig w:usb0="00000001" w:usb1="08000000" w:usb2="00000000" w:usb3="00000000" w:csb0="00040000" w:csb1="00000000"/>
    <w:embedRegular r:id="rId3" w:fontKey="{3BA0356F-6467-4918-A829-436E8030D772}"/>
  </w:font>
  <w:font w:name="华文中宋">
    <w:panose1 w:val="02010600040101010101"/>
    <w:charset w:val="86"/>
    <w:family w:val="auto"/>
    <w:pitch w:val="default"/>
    <w:sig w:usb0="00000287" w:usb1="080F0000" w:usb2="00000000" w:usb3="00000000" w:csb0="0004009F" w:csb1="DFD70000"/>
    <w:embedRegular r:id="rId4" w:fontKey="{96FC710E-A5BC-4862-8237-790CBA620818}"/>
  </w:font>
  <w:font w:name="仿宋_GB2312">
    <w:altName w:val="仿宋"/>
    <w:panose1 w:val="00000000000000000000"/>
    <w:charset w:val="86"/>
    <w:family w:val="modern"/>
    <w:pitch w:val="default"/>
    <w:sig w:usb0="00000000" w:usb1="00000000" w:usb2="00000010" w:usb3="00000000" w:csb0="00040000" w:csb1="00000000"/>
    <w:embedRegular r:id="rId5" w:fontKey="{9B01D218-EB8E-4CC9-A7E8-82477E629CDF}"/>
  </w:font>
  <w:font w:name="楷体">
    <w:panose1 w:val="02010609060101010101"/>
    <w:charset w:val="86"/>
    <w:family w:val="modern"/>
    <w:pitch w:val="default"/>
    <w:sig w:usb0="800002BF" w:usb1="38CF7CFA" w:usb2="00000016" w:usb3="00000000" w:csb0="00040001" w:csb1="00000000"/>
    <w:embedRegular r:id="rId6" w:fontKey="{A5684453-EDBB-46AA-BDA6-3FB1A47A050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60203"/>
    <w:rsid w:val="002727A6"/>
    <w:rsid w:val="00660203"/>
    <w:rsid w:val="40D51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widowControl w:val="0"/>
      <w:tabs>
        <w:tab w:val="center" w:pos="4153"/>
        <w:tab w:val="right" w:pos="8306"/>
      </w:tabs>
      <w:snapToGrid w:val="0"/>
    </w:pPr>
    <w:rPr>
      <w:rFonts w:asciiTheme="minorHAnsi" w:hAnsiTheme="minorHAnsi" w:eastAsiaTheme="minorEastAsia" w:cstheme="minorBidi"/>
      <w:sz w:val="18"/>
      <w:szCs w:val="18"/>
    </w:rPr>
  </w:style>
  <w:style w:type="paragraph" w:styleId="3">
    <w:name w:val="header"/>
    <w:basedOn w:val="1"/>
    <w:link w:val="6"/>
    <w:semiHidden/>
    <w:unhideWhenUsed/>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Table Paragraph"/>
    <w:basedOn w:val="1"/>
    <w:qFormat/>
    <w:uiPriority w:val="1"/>
    <w:pPr>
      <w:widowControl w:val="0"/>
      <w:autoSpaceDE w:val="0"/>
      <w:autoSpaceDN w:val="0"/>
    </w:pPr>
    <w:rPr>
      <w:rFonts w:ascii="仿宋" w:hAnsi="仿宋" w:eastAsia="仿宋" w:cs="仿宋"/>
      <w:kern w:val="0"/>
      <w:sz w:val="22"/>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817</Words>
  <Characters>873</Characters>
  <Lines>6</Lines>
  <Paragraphs>1</Paragraphs>
  <TotalTime>1</TotalTime>
  <ScaleCrop>false</ScaleCrop>
  <LinksUpToDate>false</LinksUpToDate>
  <CharactersWithSpaces>876</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2025-04-08T00:32:00Z</dcterms:created>
  <dc:creator>pc</dc:creator>
  <cp:lastModifiedBy>七夕</cp:lastModifiedBy>
  <dcterms:modified xsi:type="dcterms:W3CDTF">2025-04-08T08:41:02Z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eyJoZGlkIjoiMmE1M2Y0OTI5NzZjNTUwNWZjOTQ2MTI4YTExMDYzNDciLCJ1c2VySWQiOiIyOTA3NjI1NDMifQ==</vt:lpwstr>
  </property>
  <property fmtid="{D5CDD505-2E9C-101B-9397-08002B2CF9AE}" pid="3" name="KSOProductBuildVer">
    <vt:lpwstr>2052-12.1.0.20754</vt:lpwstr>
  </property>
  <property fmtid="{D5CDD505-2E9C-101B-9397-08002B2CF9AE}" pid="4" name="ICV">
    <vt:lpwstr>E3115CD6BB6243AC96C759511AC8DD27_12</vt:lpwstr>
  </property>
</Properties>
</file>