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880" w:firstLineChars="200"/>
        <w:jc w:val="center"/>
        <w:textAlignment w:val="auto"/>
        <w:rPr>
          <w:rFonts w:hint="eastAsia"/>
          <w:sz w:val="44"/>
          <w:szCs w:val="44"/>
        </w:rPr>
      </w:pPr>
      <w:bookmarkStart w:id="0" w:name="_GoBack"/>
      <w:r>
        <w:rPr>
          <w:rFonts w:hint="eastAsia"/>
          <w:sz w:val="44"/>
          <w:szCs w:val="44"/>
        </w:rPr>
        <w:t>《</w:t>
      </w:r>
      <w:r>
        <w:rPr>
          <w:rFonts w:hint="eastAsia"/>
          <w:sz w:val="44"/>
          <w:szCs w:val="44"/>
          <w:lang w:val="en-US" w:eastAsia="zh-CN"/>
        </w:rPr>
        <w:t>两岸合伙人</w:t>
      </w:r>
      <w:r>
        <w:rPr>
          <w:rFonts w:hint="eastAsia"/>
          <w:sz w:val="44"/>
          <w:szCs w:val="44"/>
        </w:rPr>
        <w:t>》</w:t>
      </w:r>
      <w:r>
        <w:rPr>
          <w:rFonts w:hint="eastAsia"/>
          <w:sz w:val="44"/>
          <w:szCs w:val="44"/>
          <w:lang w:val="en-US" w:eastAsia="zh-CN"/>
        </w:rPr>
        <w:t>栏目</w:t>
      </w:r>
      <w:r>
        <w:rPr>
          <w:rFonts w:hint="eastAsia"/>
          <w:sz w:val="44"/>
          <w:szCs w:val="44"/>
        </w:rPr>
        <w:t>覆盖及</w:t>
      </w:r>
    </w:p>
    <w:p>
      <w:pPr>
        <w:keepNext w:val="0"/>
        <w:keepLines w:val="0"/>
        <w:pageBreakBefore w:val="0"/>
        <w:widowControl w:val="0"/>
        <w:kinsoku/>
        <w:wordWrap/>
        <w:overflowPunct/>
        <w:topLinePunct w:val="0"/>
        <w:autoSpaceDE/>
        <w:autoSpaceDN/>
        <w:bidi w:val="0"/>
        <w:adjustRightInd/>
        <w:snapToGrid/>
        <w:spacing w:line="360" w:lineRule="auto"/>
        <w:ind w:firstLine="880" w:firstLineChars="200"/>
        <w:jc w:val="center"/>
        <w:textAlignment w:val="auto"/>
        <w:rPr>
          <w:sz w:val="44"/>
          <w:szCs w:val="44"/>
        </w:rPr>
      </w:pPr>
      <w:r>
        <w:rPr>
          <w:rFonts w:hint="eastAsia"/>
          <w:sz w:val="44"/>
          <w:szCs w:val="44"/>
        </w:rPr>
        <w:t>传播效果情况</w:t>
      </w:r>
    </w:p>
    <w:bookmarkEnd w:id="0"/>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sz w:val="24"/>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宋体" w:hAnsi="宋体"/>
          <w:sz w:val="32"/>
          <w:szCs w:val="32"/>
        </w:rPr>
        <w:t>《</w:t>
      </w:r>
      <w:r>
        <w:rPr>
          <w:rFonts w:hint="eastAsia" w:ascii="宋体" w:hAnsi="宋体"/>
          <w:sz w:val="32"/>
          <w:szCs w:val="32"/>
          <w:lang w:val="en-US" w:eastAsia="zh-CN"/>
        </w:rPr>
        <w:t>两岸合伙人</w:t>
      </w:r>
      <w:r>
        <w:rPr>
          <w:rFonts w:hint="eastAsia" w:ascii="宋体" w:hAnsi="宋体"/>
          <w:sz w:val="32"/>
          <w:szCs w:val="32"/>
        </w:rPr>
        <w:t>》</w:t>
      </w:r>
      <w:r>
        <w:rPr>
          <w:rFonts w:hint="eastAsia" w:ascii="宋体" w:hAnsi="宋体"/>
          <w:sz w:val="32"/>
          <w:szCs w:val="32"/>
          <w:lang w:val="en-US" w:eastAsia="zh-CN"/>
        </w:rPr>
        <w:t>栏目</w:t>
      </w:r>
      <w:r>
        <w:rPr>
          <w:rFonts w:hint="eastAsia" w:ascii="宋体" w:hAnsi="宋体"/>
          <w:sz w:val="32"/>
          <w:szCs w:val="32"/>
        </w:rPr>
        <w:t>在</w:t>
      </w:r>
      <w:r>
        <w:rPr>
          <w:rFonts w:hint="eastAsia" w:ascii="宋体" w:hAnsi="宋体"/>
          <w:sz w:val="32"/>
          <w:szCs w:val="32"/>
          <w:lang w:val="en-US" w:eastAsia="zh-CN"/>
        </w:rPr>
        <w:t>福建省广播影视集团东南广播公司</w:t>
      </w:r>
      <w:r>
        <w:rPr>
          <w:rFonts w:hint="eastAsia" w:ascii="宋体" w:hAnsi="宋体"/>
          <w:sz w:val="32"/>
          <w:szCs w:val="32"/>
        </w:rPr>
        <w:t>播出，栏目通过东南广播公司</w:t>
      </w:r>
      <w:r>
        <w:rPr>
          <w:rFonts w:hint="eastAsia" w:ascii="宋体" w:hAnsi="宋体"/>
          <w:sz w:val="32"/>
          <w:szCs w:val="32"/>
          <w:lang w:val="en-US" w:eastAsia="zh-CN"/>
        </w:rPr>
        <w:t>覆盖台湾全岛和福建福州的</w:t>
      </w:r>
      <w:r>
        <w:rPr>
          <w:rFonts w:hint="eastAsia" w:ascii="宋体" w:hAnsi="宋体"/>
          <w:sz w:val="32"/>
          <w:szCs w:val="32"/>
        </w:rPr>
        <w:t>中波频率AM585、</w:t>
      </w:r>
      <w:r>
        <w:rPr>
          <w:rFonts w:hint="eastAsia" w:ascii="宋体" w:hAnsi="宋体"/>
          <w:sz w:val="32"/>
          <w:szCs w:val="32"/>
          <w:lang w:val="en-US" w:eastAsia="zh-CN"/>
        </w:rPr>
        <w:t>FM88.3</w:t>
      </w:r>
      <w:r>
        <w:rPr>
          <w:rFonts w:hint="eastAsia" w:ascii="宋体" w:hAnsi="宋体"/>
          <w:sz w:val="32"/>
          <w:szCs w:val="32"/>
        </w:rPr>
        <w:t xml:space="preserve">以及台湾城市联播网等同步在福建和台湾播出，理论覆盖人数6000万人。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宋体" w:hAnsi="宋体"/>
          <w:sz w:val="32"/>
          <w:szCs w:val="32"/>
        </w:rPr>
        <w:t>栏目相关内容通过社交媒体、广播、线下活动等多平台推广，拓宽受众接触渠道的同时也增强了与受众的互动性，有境外网友前来咨询投资渠道以及栏目中报道的两岸合伙人的联系方式。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sz w:val="32"/>
          <w:szCs w:val="32"/>
        </w:rPr>
      </w:pPr>
      <w:r>
        <w:rPr>
          <w:rFonts w:hint="eastAsia" w:ascii="宋体" w:hAnsi="宋体"/>
          <w:sz w:val="32"/>
          <w:szCs w:val="32"/>
        </w:rPr>
        <w:t>栏目开播以来，在鼓励、撮合两岸经济、农业、文化等领域人士融合方面的影响力显著。其中，两岸王氏宗亲通过栏目了解到彼此的企业都在寻求新的突破，在栏目的撮合和见证下，两岸王氏宗亲在漳州台商投资区成立漳州王氏宗亲联合贸易有限公司，不仅获得了经济效益，还加强了宗亲之间的情感联系；福建技术师范学院的台湾教师谢东佑通过节目得知福州福清东林蜂场出现蜂螨问题，谢东佑带着“良方”登门并就选育良种、培育蜂王、提高蜂蜜纯度和产量等提出了许多建议，让东林蜂场收获良好收成；台湾布袋戏艺人赵金统和国家一级演员、福建省级非遗传承人洪惠君经由栏目相识，共同创排了木偶节目《佳偶天成》，在福建非遗展演活动中获得不错反响，同时也推动了两岸非遗文化的传承与发展。</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791F63"/>
    <w:rsid w:val="7B791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2025-04-07T01:19:00Z</dcterms:created>
  <dc:creator>LENOVO</dc:creator>
  <cp:lastModifiedBy>LENOVO</cp:lastModifiedBy>
  <dcterms:modified xsi:type="dcterms:W3CDTF">2025-04-07T01:23:47Z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AC0D9AE02A8746A3A2B253B4F932A2B4</vt:lpwstr>
  </property>
</Properties>
</file>