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8"/>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855"/>
        <w:gridCol w:w="13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Merge w:val="restart"/>
            <w:vAlign w:val="center"/>
          </w:tcPr>
          <w:p>
            <w:pPr>
              <w:spacing w:line="260" w:lineRule="exact"/>
              <w:rPr>
                <w:rFonts w:ascii="华文中宋" w:hAnsi="华文中宋" w:eastAsia="华文中宋"/>
                <w:color w:val="000000"/>
                <w:sz w:val="28"/>
              </w:rPr>
            </w:pPr>
            <w:r>
              <w:rPr>
                <w:rFonts w:hint="eastAsia" w:ascii="仿宋_GB2312"/>
                <w:sz w:val="24"/>
                <w:szCs w:val="24"/>
              </w:rPr>
              <w:t>探索数字化转型，提升媒体传播力——海峡都市报的探索与实践</w:t>
            </w: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spacing w:line="260" w:lineRule="exact"/>
              <w:rPr>
                <w:rFonts w:ascii="仿宋_GB2312"/>
                <w:color w:val="000000"/>
                <w:sz w:val="28"/>
              </w:rPr>
            </w:pPr>
            <w:r>
              <w:rPr>
                <w:rFonts w:hint="eastAsia" w:ascii="仿宋_GB2312"/>
                <w:sz w:val="24"/>
                <w:szCs w:val="24"/>
              </w:rPr>
              <w:t>新闻业务研究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rPr>
                <w:rFonts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450" w:type="dxa"/>
            <w:vAlign w:val="center"/>
          </w:tcPr>
          <w:p>
            <w:pPr>
              <w:spacing w:line="320" w:lineRule="exact"/>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spacing w:line="260" w:lineRule="exact"/>
              <w:rPr>
                <w:rFonts w:ascii="仿宋_GB2312" w:hAnsi="华文中宋"/>
                <w:color w:val="000000"/>
                <w:sz w:val="28"/>
              </w:rPr>
            </w:pPr>
            <w:r>
              <w:rPr>
                <w:rFonts w:hint="eastAsia" w:ascii="仿宋" w:hAnsi="仿宋" w:eastAsia="仿宋" w:cs="仿宋"/>
                <w:color w:val="000000"/>
                <w:sz w:val="24"/>
                <w:szCs w:val="18"/>
              </w:rPr>
              <w:t>肖颖</w:t>
            </w:r>
          </w:p>
        </w:tc>
        <w:tc>
          <w:tcPr>
            <w:tcW w:w="855"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2"/>
            <w:vAlign w:val="center"/>
          </w:tcPr>
          <w:p>
            <w:pPr>
              <w:spacing w:line="240" w:lineRule="exact"/>
              <w:rPr>
                <w:rFonts w:ascii="仿宋" w:hAnsi="仿宋" w:eastAsia="仿宋"/>
                <w:color w:val="000000"/>
                <w:w w:val="95"/>
                <w:szCs w:val="21"/>
              </w:rPr>
            </w:pPr>
            <w:r>
              <w:rPr>
                <w:rFonts w:hint="eastAsia" w:ascii="仿宋" w:hAnsi="仿宋" w:eastAsia="仿宋" w:cs="仿宋"/>
                <w:color w:val="000000"/>
                <w:sz w:val="24"/>
                <w:szCs w:val="18"/>
              </w:rPr>
              <w:t>陈利云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rPr>
                <w:rFonts w:ascii="仿宋_GB2312" w:hAnsi="仿宋"/>
                <w:color w:val="000000"/>
                <w:szCs w:val="21"/>
              </w:rPr>
            </w:pPr>
            <w:r>
              <w:rPr>
                <w:rFonts w:hint="eastAsia" w:ascii="仿宋" w:hAnsi="仿宋" w:eastAsia="仿宋" w:cs="仿宋"/>
                <w:color w:val="000000"/>
                <w:sz w:val="24"/>
                <w:szCs w:val="18"/>
              </w:rPr>
              <w:t>海峡都市报社</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2"/>
            <w:vAlign w:val="center"/>
          </w:tcPr>
          <w:p>
            <w:pPr>
              <w:spacing w:line="260" w:lineRule="exact"/>
              <w:rPr>
                <w:rFonts w:ascii="仿宋_GB2312"/>
                <w:sz w:val="24"/>
                <w:szCs w:val="24"/>
              </w:rPr>
            </w:pPr>
            <w:r>
              <w:rPr>
                <w:rFonts w:hint="eastAsia" w:ascii="仿宋_GB2312"/>
                <w:sz w:val="24"/>
                <w:szCs w:val="24"/>
              </w:rPr>
              <w:t>新闻战线杂志社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exact"/>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rPr>
                <w:rFonts w:ascii="仿宋_GB2312"/>
                <w:sz w:val="24"/>
              </w:rPr>
            </w:pPr>
            <w:r>
              <w:rPr>
                <w:rFonts w:hint="eastAsia" w:ascii="仿宋_GB2312"/>
                <w:sz w:val="24"/>
                <w:szCs w:val="24"/>
              </w:rPr>
              <w:t>《新闻战线》杂志</w:t>
            </w:r>
          </w:p>
          <w:p>
            <w:pPr>
              <w:spacing w:line="260" w:lineRule="exact"/>
              <w:rPr>
                <w:rFonts w:ascii="仿宋_GB2312" w:hAnsi="仿宋"/>
                <w:color w:val="000000"/>
                <w:szCs w:val="21"/>
              </w:rPr>
            </w:pPr>
            <w:r>
              <w:rPr>
                <w:rFonts w:hint="eastAsia" w:ascii="仿宋_GB2312"/>
                <w:sz w:val="24"/>
                <w:szCs w:val="24"/>
              </w:rPr>
              <w:t>前沿关注栏目35-38页</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2"/>
            <w:vAlign w:val="center"/>
          </w:tcPr>
          <w:p>
            <w:pPr>
              <w:spacing w:line="260" w:lineRule="exact"/>
              <w:rPr>
                <w:rFonts w:ascii="仿宋_GB2312" w:hAnsi="仿宋"/>
                <w:color w:val="000000"/>
                <w:szCs w:val="21"/>
              </w:rPr>
            </w:pPr>
            <w:r>
              <w:rPr>
                <w:rFonts w:hint="eastAsia" w:ascii="仿宋_GB2312"/>
                <w:sz w:val="24"/>
                <w:szCs w:val="24"/>
              </w:rPr>
              <w:t>2022年3月15日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4"/>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3" w:hRule="atLeast"/>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vAlign w:val="center"/>
          </w:tcPr>
          <w:p>
            <w:pPr>
              <w:ind w:firstLine="240" w:firstLineChars="100"/>
              <w:rPr>
                <w:rFonts w:ascii="仿宋_GB2312"/>
                <w:sz w:val="24"/>
              </w:rPr>
            </w:pPr>
            <w:r>
              <w:rPr>
                <w:rFonts w:hint="eastAsia" w:ascii="仿宋_GB2312"/>
                <w:sz w:val="24"/>
                <w:szCs w:val="24"/>
              </w:rPr>
              <w:t>文章围绕“数字化转型，媒体传播力提升”这一主题，论述了在互联网技术快速发展，舆论生态、媒体格局、传播方式发生深刻变化的背景下，纸媒转型如何发挥自身优势，借力新技术，积极向数字化迈进</w:t>
            </w:r>
            <w:r>
              <w:rPr>
                <w:rFonts w:hint="eastAsia" w:ascii="仿宋_GB2312"/>
                <w:sz w:val="24"/>
              </w:rPr>
              <w:t>的努力。</w:t>
            </w:r>
          </w:p>
          <w:p>
            <w:pPr>
              <w:ind w:firstLine="420"/>
              <w:rPr>
                <w:rFonts w:ascii="仿宋" w:hAnsi="仿宋" w:eastAsia="仿宋"/>
                <w:color w:val="000000"/>
                <w:w w:val="95"/>
                <w:szCs w:val="21"/>
              </w:rPr>
            </w:pPr>
            <w:r>
              <w:rPr>
                <w:rFonts w:hint="eastAsia" w:ascii="仿宋_GB2312"/>
                <w:sz w:val="24"/>
                <w:szCs w:val="24"/>
              </w:rPr>
              <w:t>海峡都市报构建“智慧海都产业数字化平台”，运用“大数据＋AI”、区块链、SaaS等技术体系，将沉淀20余年的优势资源——新闻资讯服务、家政服务、商城购买服务等转移至线上，打造“媒体＋政务服务商务”数字化平台，通过整合渠道用户、产业互联、营销一体化，在移动互联网端对市民的生活形成全覆盖，有利于实现全产业成体系持久变现。本文对这一案例进行深入剖析，其创新路径为纸媒数字化转型提供了启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1" w:hRule="exact"/>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5"/>
            <w:vAlign w:val="center"/>
          </w:tcPr>
          <w:p>
            <w:pPr>
              <w:ind w:firstLine="420"/>
              <w:rPr>
                <w:rFonts w:ascii="仿宋" w:hAnsi="仿宋" w:eastAsia="仿宋"/>
                <w:color w:val="000000"/>
                <w:szCs w:val="21"/>
              </w:rPr>
            </w:pPr>
            <w:r>
              <w:rPr>
                <w:rFonts w:hint="eastAsia" w:ascii="仿宋_GB2312"/>
                <w:sz w:val="24"/>
                <w:szCs w:val="24"/>
              </w:rPr>
              <w:t>文章在国家重点新闻期刊《新闻战线》前沿关注栏目上发表，以福建省主流媒体海峡都市报的“智慧海都”产业数字化平台为例，该案例被国家新闻出版署列入“2021年报业深度融合发展创新案例”</w:t>
            </w:r>
            <w:r>
              <w:rPr>
                <w:rFonts w:hint="eastAsia" w:ascii="仿宋_GB2312"/>
                <w:sz w:val="24"/>
              </w:rPr>
              <w:t>。</w:t>
            </w:r>
            <w:r>
              <w:rPr>
                <w:rFonts w:hint="eastAsia" w:ascii="仿宋_GB2312"/>
                <w:sz w:val="24"/>
                <w:szCs w:val="24"/>
              </w:rPr>
              <w:t>文章在剖析案例的同时，也向全国同行业、新闻研究领域展示了福建省级主流媒体在创新融合发展上的重要实践与创新举措，收获了全国同行业的高度关注和认可。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4" w:hRule="exact"/>
        </w:trPr>
        <w:tc>
          <w:tcPr>
            <w:tcW w:w="1450"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tcBorders>
              <w:bottom w:val="single" w:color="auto" w:sz="4" w:space="0"/>
            </w:tcBorders>
            <w:vAlign w:val="center"/>
          </w:tcPr>
          <w:p>
            <w:pPr>
              <w:spacing w:line="360" w:lineRule="exact"/>
              <w:ind w:firstLine="480" w:firstLineChars="200"/>
              <w:rPr>
                <w:rFonts w:ascii="华文中宋" w:hAnsi="华文中宋" w:eastAsia="华文中宋"/>
                <w:color w:val="000000"/>
                <w:spacing w:val="-2"/>
                <w:sz w:val="28"/>
              </w:rPr>
            </w:pPr>
            <w:r>
              <w:rPr>
                <w:rFonts w:hint="eastAsia" w:ascii="仿宋_GB2312" w:hAnsi="仿宋"/>
                <w:color w:val="000000"/>
                <w:sz w:val="24"/>
                <w:szCs w:val="18"/>
              </w:rPr>
              <w:t>文章逻辑严谨、内容扎实，语言生动又具有理论高度。其深入剖析了在数字化浪潮风起云涌当下，传统媒体如何利用自身资源优势，借力先进技术，</w:t>
            </w:r>
            <w:r>
              <w:rPr>
                <w:rFonts w:hint="eastAsia" w:ascii="仿宋_GB2312"/>
                <w:sz w:val="24"/>
                <w:szCs w:val="24"/>
              </w:rPr>
              <w:t>打造“媒体＋政务服务商务”的转型发展路径</w:t>
            </w:r>
            <w:r>
              <w:rPr>
                <w:rFonts w:hint="eastAsia" w:ascii="仿宋_GB2312" w:hAnsi="仿宋"/>
                <w:color w:val="000000"/>
                <w:sz w:val="24"/>
                <w:szCs w:val="18"/>
              </w:rPr>
              <w:t>。该案例是对习总书记强调的“</w:t>
            </w:r>
            <w:r>
              <w:rPr>
                <w:rFonts w:ascii="仿宋_GB2312" w:hAnsi="仿宋"/>
                <w:color w:val="000000"/>
                <w:sz w:val="24"/>
                <w:szCs w:val="18"/>
              </w:rPr>
              <w:t>推进媒体深度融合，做强新型主流媒体</w:t>
            </w:r>
            <w:r>
              <w:rPr>
                <w:rFonts w:hint="eastAsia" w:ascii="仿宋_GB2312" w:hAnsi="仿宋"/>
                <w:color w:val="000000"/>
                <w:sz w:val="24"/>
                <w:szCs w:val="18"/>
              </w:rPr>
              <w:t>”的一次生动探索和实践。同时，该案例为传统媒体在构建新型传播平台、提升传播力方面提供了启发，在全国行业内具有重要示范意义。</w:t>
            </w:r>
            <w:r>
              <w:rPr>
                <w:rFonts w:hint="eastAsia" w:ascii="华文中宋" w:hAnsi="华文中宋" w:eastAsia="华文中宋"/>
                <w:color w:val="000000"/>
                <w:spacing w:val="-2"/>
                <w:sz w:val="28"/>
              </w:rPr>
              <w:t xml:space="preserve"> </w:t>
            </w:r>
            <w:r>
              <w:rPr>
                <w:rFonts w:ascii="华文中宋" w:hAnsi="华文中宋" w:eastAsia="华文中宋"/>
                <w:color w:val="000000"/>
                <w:spacing w:val="-2"/>
                <w:sz w:val="28"/>
              </w:rPr>
              <w:t xml:space="preserve">            </w:t>
            </w:r>
          </w:p>
          <w:p>
            <w:pPr>
              <w:spacing w:line="360" w:lineRule="exact"/>
              <w:ind w:firstLine="4416" w:firstLineChars="1600"/>
              <w:rPr>
                <w:rFonts w:ascii="华文中宋" w:hAnsi="华文中宋" w:eastAsia="华文中宋"/>
                <w:color w:val="000000"/>
                <w:spacing w:val="-2"/>
                <w:sz w:val="28"/>
              </w:rPr>
            </w:pPr>
            <w:r>
              <w:rPr>
                <w:rFonts w:ascii="华文中宋" w:hAnsi="华文中宋" w:eastAsia="华文中宋"/>
                <w:color w:val="000000"/>
                <w:spacing w:val="-2"/>
                <w:sz w:val="28"/>
              </w:rPr>
              <w:t xml:space="preserve"> </w:t>
            </w:r>
            <w:r>
              <w:rPr>
                <w:rFonts w:hint="eastAsia" w:ascii="华文中宋" w:hAnsi="华文中宋" w:eastAsia="华文中宋"/>
                <w:color w:val="000000"/>
                <w:spacing w:val="-2"/>
                <w:sz w:val="28"/>
              </w:rPr>
              <w:t>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spacing w:line="460" w:lineRule="exact"/>
        <w:outlineLvl w:val="1"/>
        <w:rPr>
          <w:rFonts w:ascii="华文仿宋" w:hAnsi="华文仿宋" w:eastAsia="华文仿宋"/>
          <w:bCs/>
          <w:color w:val="000000"/>
          <w:szCs w:val="32"/>
        </w:rPr>
        <w:sectPr>
          <w:headerReference r:id="rId3" w:type="default"/>
          <w:footerReference r:id="rId5" w:type="default"/>
          <w:headerReference r:id="rId4" w:type="even"/>
          <w:pgSz w:w="11906" w:h="16838"/>
          <w:pgMar w:top="1701" w:right="1418" w:bottom="1361" w:left="1418" w:header="851" w:footer="1418" w:gutter="0"/>
          <w:pgNumType w:fmt="numberInDash"/>
          <w:cols w:space="425" w:num="1"/>
          <w:docGrid w:type="lines" w:linePitch="312" w:charSpace="0"/>
        </w:sectPr>
      </w:pPr>
    </w:p>
    <w:p>
      <w:pPr>
        <w:spacing w:line="20" w:lineRule="exact"/>
        <w:rPr>
          <w:rFonts w:ascii="仿宋" w:hAnsi="仿宋" w:eastAsia="仿宋" w:cs="仿宋"/>
          <w:color w:val="070707"/>
        </w:rPr>
      </w:pPr>
    </w:p>
    <w:sectPr>
      <w:headerReference r:id="rId6" w:type="default"/>
      <w:footerReference r:id="rId7"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page">
                <wp:posOffset>5915025</wp:posOffset>
              </wp:positionH>
              <wp:positionV relativeFrom="paragraph">
                <wp:posOffset>-11430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560"/>
                            <w:rPr>
                              <w:rStyle w:val="11"/>
                              <w:sz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65.75pt;margin-top:-0.9pt;height:144pt;width:144pt;mso-position-horizontal-relative:page;mso-wrap-style:none;z-index:251659264;mso-width-relative:page;mso-height-relative:page;" filled="f" stroked="f" coordsize="21600,21600" o:gfxdata="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9Br&#10;loWt3lkeoaN43q6OAQK2ukZROiV6rdBtbWX6yYjt/Oe+jXr6G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iufJ/YAAAACwEAAA8AAAAAAAAAAQAgAAAAIgAAAGRycy9kb3ducmV2LnhtbFBLAQIU&#10;ABQAAAAIAIdO4kC9Dt23LAIAAFUEAAAOAAAAAAAAAAEAIAAAACcBAABkcnMvZTJvRG9jLnhtbFBL&#10;BQYAAAAABgAGAFkBAADFBQAAAAA=&#10;">
              <v:fill on="f" focussize="0,0"/>
              <v:stroke on="f" weight="0.5pt"/>
              <v:imagedata o:title=""/>
              <o:lock v:ext="edit" aspectratio="f"/>
              <v:textbox inset="0mm,0mm,0mm,0mm" style="mso-fit-shape-to-text:t;">
                <w:txbxContent>
                  <w:p>
                    <w:pPr>
                      <w:pStyle w:val="6"/>
                      <w:ind w:firstLine="560"/>
                      <w:rPr>
                        <w:rStyle w:val="11"/>
                        <w:sz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r>
      <w:rPr>
        <w:rFonts w:hint="eastAsia" w:ascii="楷体" w:hAnsi="楷体" w:eastAsia="楷体"/>
        <w:b/>
        <w:sz w:val="30"/>
        <w:szCs w:val="30"/>
      </w:rPr>
      <w:t>附件1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BmZDJmMzAxN2Y2NWE2ZmJhNDUxMmMwNjM0NzBkYzMifQ=="/>
  </w:docVars>
  <w:rsids>
    <w:rsidRoot w:val="004A31D0"/>
    <w:rsid w:val="000071F4"/>
    <w:rsid w:val="000261C2"/>
    <w:rsid w:val="00044F8D"/>
    <w:rsid w:val="00045B3D"/>
    <w:rsid w:val="00061030"/>
    <w:rsid w:val="00110ED1"/>
    <w:rsid w:val="001135FF"/>
    <w:rsid w:val="00113F65"/>
    <w:rsid w:val="00157384"/>
    <w:rsid w:val="001609D5"/>
    <w:rsid w:val="00165201"/>
    <w:rsid w:val="0017782A"/>
    <w:rsid w:val="00182DF0"/>
    <w:rsid w:val="001B6049"/>
    <w:rsid w:val="001C5601"/>
    <w:rsid w:val="001F5016"/>
    <w:rsid w:val="001F7C0F"/>
    <w:rsid w:val="002067BD"/>
    <w:rsid w:val="0021579D"/>
    <w:rsid w:val="002246F2"/>
    <w:rsid w:val="0027108F"/>
    <w:rsid w:val="00273D5D"/>
    <w:rsid w:val="00281232"/>
    <w:rsid w:val="002A1964"/>
    <w:rsid w:val="002B090E"/>
    <w:rsid w:val="002B6304"/>
    <w:rsid w:val="002D279B"/>
    <w:rsid w:val="002E0404"/>
    <w:rsid w:val="002E43E5"/>
    <w:rsid w:val="002E7E56"/>
    <w:rsid w:val="00304016"/>
    <w:rsid w:val="00325780"/>
    <w:rsid w:val="00327D2B"/>
    <w:rsid w:val="00330D64"/>
    <w:rsid w:val="00340198"/>
    <w:rsid w:val="003A4C50"/>
    <w:rsid w:val="003A54CF"/>
    <w:rsid w:val="003B36E8"/>
    <w:rsid w:val="003D3563"/>
    <w:rsid w:val="00402438"/>
    <w:rsid w:val="00453211"/>
    <w:rsid w:val="00494393"/>
    <w:rsid w:val="00496FF3"/>
    <w:rsid w:val="004976D2"/>
    <w:rsid w:val="004A31D0"/>
    <w:rsid w:val="004A6A3B"/>
    <w:rsid w:val="004B45BF"/>
    <w:rsid w:val="004C6932"/>
    <w:rsid w:val="004E1EEE"/>
    <w:rsid w:val="004E73C5"/>
    <w:rsid w:val="00505D7A"/>
    <w:rsid w:val="00521AA0"/>
    <w:rsid w:val="00530B05"/>
    <w:rsid w:val="00536F0F"/>
    <w:rsid w:val="00540573"/>
    <w:rsid w:val="00544DB2"/>
    <w:rsid w:val="005452D7"/>
    <w:rsid w:val="00551E45"/>
    <w:rsid w:val="00563276"/>
    <w:rsid w:val="00570E69"/>
    <w:rsid w:val="005C1635"/>
    <w:rsid w:val="005C3C5B"/>
    <w:rsid w:val="00610B1A"/>
    <w:rsid w:val="00671C03"/>
    <w:rsid w:val="00695D81"/>
    <w:rsid w:val="006C5E48"/>
    <w:rsid w:val="006D3B39"/>
    <w:rsid w:val="006F5A42"/>
    <w:rsid w:val="00707738"/>
    <w:rsid w:val="00712273"/>
    <w:rsid w:val="007342A2"/>
    <w:rsid w:val="0074108C"/>
    <w:rsid w:val="00754340"/>
    <w:rsid w:val="007F1B62"/>
    <w:rsid w:val="007F5975"/>
    <w:rsid w:val="00802AD8"/>
    <w:rsid w:val="00805EDA"/>
    <w:rsid w:val="0081331A"/>
    <w:rsid w:val="00814E67"/>
    <w:rsid w:val="00817F84"/>
    <w:rsid w:val="008201C0"/>
    <w:rsid w:val="008246EC"/>
    <w:rsid w:val="00836884"/>
    <w:rsid w:val="0084656A"/>
    <w:rsid w:val="008553AB"/>
    <w:rsid w:val="00871784"/>
    <w:rsid w:val="00895412"/>
    <w:rsid w:val="008B36E3"/>
    <w:rsid w:val="008C1ACB"/>
    <w:rsid w:val="008F1EE7"/>
    <w:rsid w:val="00941CC8"/>
    <w:rsid w:val="00942F73"/>
    <w:rsid w:val="00956FFA"/>
    <w:rsid w:val="00960F0A"/>
    <w:rsid w:val="0096727E"/>
    <w:rsid w:val="00980B7A"/>
    <w:rsid w:val="00985D36"/>
    <w:rsid w:val="00986089"/>
    <w:rsid w:val="00986A30"/>
    <w:rsid w:val="00996AB9"/>
    <w:rsid w:val="00997A1A"/>
    <w:rsid w:val="009A7A95"/>
    <w:rsid w:val="00A14085"/>
    <w:rsid w:val="00A320F8"/>
    <w:rsid w:val="00A46AE4"/>
    <w:rsid w:val="00A55249"/>
    <w:rsid w:val="00A567B4"/>
    <w:rsid w:val="00A61852"/>
    <w:rsid w:val="00A66CE9"/>
    <w:rsid w:val="00A70D5E"/>
    <w:rsid w:val="00AA02A3"/>
    <w:rsid w:val="00AF11C8"/>
    <w:rsid w:val="00AF19AE"/>
    <w:rsid w:val="00B026C7"/>
    <w:rsid w:val="00B11ECC"/>
    <w:rsid w:val="00B40179"/>
    <w:rsid w:val="00B45F8E"/>
    <w:rsid w:val="00B515E3"/>
    <w:rsid w:val="00B72EA3"/>
    <w:rsid w:val="00BA26A9"/>
    <w:rsid w:val="00BB1742"/>
    <w:rsid w:val="00BD24BE"/>
    <w:rsid w:val="00BD52E0"/>
    <w:rsid w:val="00C00BAF"/>
    <w:rsid w:val="00C11A65"/>
    <w:rsid w:val="00C47536"/>
    <w:rsid w:val="00C717CF"/>
    <w:rsid w:val="00C866B1"/>
    <w:rsid w:val="00C952B1"/>
    <w:rsid w:val="00C9779D"/>
    <w:rsid w:val="00CA3D3F"/>
    <w:rsid w:val="00CE048A"/>
    <w:rsid w:val="00CF08F0"/>
    <w:rsid w:val="00D70A02"/>
    <w:rsid w:val="00DE059A"/>
    <w:rsid w:val="00E1007B"/>
    <w:rsid w:val="00E10E55"/>
    <w:rsid w:val="00E21D59"/>
    <w:rsid w:val="00E55588"/>
    <w:rsid w:val="00E96942"/>
    <w:rsid w:val="00EB4AB0"/>
    <w:rsid w:val="00EB76D4"/>
    <w:rsid w:val="00EC4C39"/>
    <w:rsid w:val="00F022F4"/>
    <w:rsid w:val="00F043A2"/>
    <w:rsid w:val="00F1464C"/>
    <w:rsid w:val="00F37585"/>
    <w:rsid w:val="00F42F64"/>
    <w:rsid w:val="00F616BE"/>
    <w:rsid w:val="00F65B32"/>
    <w:rsid w:val="00F83B5E"/>
    <w:rsid w:val="00F843CA"/>
    <w:rsid w:val="00FB30C4"/>
    <w:rsid w:val="00FD318B"/>
    <w:rsid w:val="0AA1970C"/>
    <w:rsid w:val="0ED80999"/>
    <w:rsid w:val="0F2055BE"/>
    <w:rsid w:val="0F7F0EA5"/>
    <w:rsid w:val="1A7CA4C8"/>
    <w:rsid w:val="1EE367D7"/>
    <w:rsid w:val="1FBE4D8F"/>
    <w:rsid w:val="23C9386E"/>
    <w:rsid w:val="27BBD431"/>
    <w:rsid w:val="2B5FF6DB"/>
    <w:rsid w:val="2BE6AC9B"/>
    <w:rsid w:val="32E7C95C"/>
    <w:rsid w:val="37E613F9"/>
    <w:rsid w:val="37FD3078"/>
    <w:rsid w:val="37FF3550"/>
    <w:rsid w:val="37FFC416"/>
    <w:rsid w:val="3991049D"/>
    <w:rsid w:val="3AFCCEEC"/>
    <w:rsid w:val="3B6BE7B6"/>
    <w:rsid w:val="3BFF18CE"/>
    <w:rsid w:val="3DEE90AB"/>
    <w:rsid w:val="3F9F0BD7"/>
    <w:rsid w:val="3FDD0733"/>
    <w:rsid w:val="3FFF6105"/>
    <w:rsid w:val="46457E7E"/>
    <w:rsid w:val="467F7B33"/>
    <w:rsid w:val="4B94077D"/>
    <w:rsid w:val="4F7A1CAF"/>
    <w:rsid w:val="575FFACA"/>
    <w:rsid w:val="57E3A12B"/>
    <w:rsid w:val="5D5E7442"/>
    <w:rsid w:val="5DFC282D"/>
    <w:rsid w:val="5EF2E06A"/>
    <w:rsid w:val="5F7BA06F"/>
    <w:rsid w:val="5FFB8B9E"/>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3"/>
    <w:basedOn w:val="1"/>
    <w:unhideWhenUsed/>
    <w:qFormat/>
    <w:uiPriority w:val="99"/>
    <w:pPr>
      <w:spacing w:after="120"/>
    </w:pPr>
    <w:rPr>
      <w:sz w:val="16"/>
      <w:szCs w:val="16"/>
    </w:r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日期 字符"/>
    <w:basedOn w:val="10"/>
    <w:link w:val="4"/>
    <w:semiHidden/>
    <w:qFormat/>
    <w:uiPriority w:val="99"/>
  </w:style>
  <w:style w:type="paragraph" w:styleId="15">
    <w:name w:val="List Paragraph"/>
    <w:basedOn w:val="1"/>
    <w:qFormat/>
    <w:uiPriority w:val="34"/>
    <w:pPr>
      <w:ind w:firstLine="420" w:firstLineChars="200"/>
    </w:pPr>
  </w:style>
  <w:style w:type="character" w:customStyle="1" w:styleId="16">
    <w:name w:val="批注框文本 字符"/>
    <w:basedOn w:val="10"/>
    <w:link w:val="5"/>
    <w:semiHidden/>
    <w:qFormat/>
    <w:uiPriority w:val="99"/>
    <w:rPr>
      <w:rFonts w:eastAsia="仿宋_GB2312" w:asciiTheme="minorHAnsi" w:hAnsiTheme="minorHAnsi"/>
      <w:kern w:val="2"/>
      <w:sz w:val="18"/>
      <w:szCs w:val="18"/>
    </w:rPr>
  </w:style>
  <w:style w:type="paragraph" w:customStyle="1" w:styleId="17">
    <w:name w:val="Char Char9 Char Char"/>
    <w:basedOn w:val="1"/>
    <w:qFormat/>
    <w:uiPriority w:val="0"/>
    <w:rPr>
      <w:rFonts w:ascii="仿宋_GB2312" w:hAnsi="Times New Roman" w:cs="Times New Roman"/>
      <w:b/>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E21B-7757-4C8F-A15A-ADAB79CECC0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795</Words>
  <Characters>814</Characters>
  <Lines>6</Lines>
  <Paragraphs>1</Paragraphs>
  <TotalTime>51</TotalTime>
  <ScaleCrop>false</ScaleCrop>
  <LinksUpToDate>false</LinksUpToDate>
  <CharactersWithSpaces>875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2023-05-07T03:19:00Z</dcterms:created>
  <dc:creator>wangyongpo</dc:creator>
  <cp:lastModifiedBy>xlh</cp:lastModifiedBy>
  <cp:lastPrinted>2022-12-27T03:12:00Z</cp:lastPrinted>
  <dcterms:modified xsi:type="dcterms:W3CDTF">2023-05-08T08:39:01Z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3F80FB80860B45F8B2F630653BEF4E36_13</vt:lpwstr>
  </property>
</Properties>
</file>