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8C" w:rsidRDefault="00E02B8C" w:rsidP="00E02B8C">
      <w:pPr>
        <w:rPr>
          <w:rFonts w:ascii="黑体" w:eastAsia="黑体" w:hAnsi="黑体" w:cs="黑体"/>
          <w:bCs/>
          <w:color w:val="000000"/>
          <w:szCs w:val="32"/>
        </w:rPr>
      </w:pPr>
      <w:r>
        <w:rPr>
          <w:rFonts w:ascii="黑体" w:eastAsia="黑体" w:hAnsi="黑体" w:cs="黑体" w:hint="eastAsia"/>
          <w:bCs/>
          <w:color w:val="000000"/>
          <w:szCs w:val="32"/>
        </w:rPr>
        <w:t>附件4</w:t>
      </w:r>
    </w:p>
    <w:p w:rsidR="00E02B8C" w:rsidRDefault="00E02B8C" w:rsidP="00E02B8C">
      <w:pPr>
        <w:spacing w:afterLines="5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E02B8C" w:rsidTr="002500B6">
        <w:trPr>
          <w:cantSplit/>
          <w:trHeight w:hRule="exact" w:val="729"/>
        </w:trPr>
        <w:tc>
          <w:tcPr>
            <w:tcW w:w="1450" w:type="dxa"/>
            <w:vMerge w:val="restart"/>
            <w:vAlign w:val="center"/>
          </w:tcPr>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E02B8C" w:rsidRDefault="00E02B8C" w:rsidP="002500B6">
            <w:pPr>
              <w:spacing w:line="380" w:lineRule="exact"/>
              <w:rPr>
                <w:rFonts w:ascii="华文中宋" w:eastAsia="华文中宋" w:hAnsi="华文中宋"/>
                <w:color w:val="000000"/>
                <w:sz w:val="28"/>
              </w:rPr>
            </w:pPr>
            <w:bookmarkStart w:id="0" w:name="_GoBack"/>
            <w:r>
              <w:rPr>
                <w:rFonts w:ascii="仿宋_GB2312" w:eastAsia="仿宋_GB2312" w:hAnsi="华文中宋" w:cs="Times New Roman"/>
                <w:kern w:val="2"/>
                <w:sz w:val="28"/>
                <w:szCs w:val="28"/>
              </w:rPr>
              <w:t>莆田这所学校招不到这类新生，老师们却感到高兴和自豪！</w:t>
            </w:r>
            <w:bookmarkEnd w:id="0"/>
          </w:p>
        </w:tc>
        <w:tc>
          <w:tcPr>
            <w:tcW w:w="1356" w:type="dxa"/>
            <w:vAlign w:val="center"/>
          </w:tcPr>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E02B8C" w:rsidRDefault="00E02B8C" w:rsidP="002500B6">
            <w:pPr>
              <w:rPr>
                <w:rFonts w:ascii="仿宋_GB2312"/>
                <w:color w:val="000000"/>
                <w:sz w:val="28"/>
              </w:rPr>
            </w:pPr>
            <w:r>
              <w:rPr>
                <w:rFonts w:ascii="仿宋_GB2312" w:eastAsia="仿宋_GB2312" w:hAnsi="仿宋" w:hint="eastAsia"/>
                <w:sz w:val="28"/>
                <w:szCs w:val="28"/>
              </w:rPr>
              <w:t>通讯</w:t>
            </w:r>
            <w:r>
              <w:rPr>
                <w:rFonts w:ascii="仿宋_GB2312" w:hAnsi="仿宋" w:hint="eastAsia"/>
                <w:sz w:val="28"/>
                <w:szCs w:val="28"/>
              </w:rPr>
              <w:t>（新媒体）</w:t>
            </w:r>
          </w:p>
        </w:tc>
      </w:tr>
      <w:tr w:rsidR="00E02B8C" w:rsidTr="002500B6">
        <w:trPr>
          <w:cantSplit/>
          <w:trHeight w:hRule="exact" w:val="591"/>
        </w:trPr>
        <w:tc>
          <w:tcPr>
            <w:tcW w:w="1450" w:type="dxa"/>
            <w:vMerge/>
            <w:vAlign w:val="center"/>
          </w:tcPr>
          <w:p w:rsidR="00E02B8C" w:rsidRDefault="00E02B8C" w:rsidP="002500B6">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E02B8C" w:rsidRDefault="00E02B8C" w:rsidP="002500B6">
            <w:pPr>
              <w:spacing w:line="380" w:lineRule="exact"/>
              <w:ind w:firstLine="560"/>
              <w:jc w:val="center"/>
              <w:rPr>
                <w:rFonts w:ascii="华文中宋" w:eastAsia="华文中宋" w:hAnsi="华文中宋"/>
                <w:color w:val="000000"/>
                <w:sz w:val="28"/>
              </w:rPr>
            </w:pPr>
          </w:p>
        </w:tc>
        <w:tc>
          <w:tcPr>
            <w:tcW w:w="1356" w:type="dxa"/>
            <w:vAlign w:val="center"/>
          </w:tcPr>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E02B8C" w:rsidRDefault="00E02B8C" w:rsidP="002500B6">
            <w:pPr>
              <w:spacing w:line="300" w:lineRule="exact"/>
              <w:rPr>
                <w:rFonts w:ascii="仿宋_GB2312" w:hAnsi="仿宋"/>
                <w:color w:val="000000"/>
                <w:sz w:val="28"/>
              </w:rPr>
            </w:pPr>
          </w:p>
        </w:tc>
      </w:tr>
      <w:tr w:rsidR="00E02B8C" w:rsidTr="002500B6">
        <w:trPr>
          <w:cantSplit/>
          <w:trHeight w:hRule="exact" w:val="604"/>
        </w:trPr>
        <w:tc>
          <w:tcPr>
            <w:tcW w:w="1450" w:type="dxa"/>
            <w:vMerge/>
            <w:vAlign w:val="center"/>
          </w:tcPr>
          <w:p w:rsidR="00E02B8C" w:rsidRDefault="00E02B8C" w:rsidP="002500B6">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E02B8C" w:rsidRDefault="00E02B8C" w:rsidP="002500B6">
            <w:pPr>
              <w:spacing w:line="380" w:lineRule="exact"/>
              <w:ind w:firstLine="560"/>
              <w:jc w:val="center"/>
              <w:rPr>
                <w:rFonts w:ascii="华文中宋" w:eastAsia="华文中宋" w:hAnsi="华文中宋"/>
                <w:color w:val="000000"/>
                <w:sz w:val="28"/>
              </w:rPr>
            </w:pPr>
          </w:p>
        </w:tc>
        <w:tc>
          <w:tcPr>
            <w:tcW w:w="1356" w:type="dxa"/>
            <w:vAlign w:val="center"/>
          </w:tcPr>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E02B8C" w:rsidRDefault="00E02B8C" w:rsidP="002500B6">
            <w:pPr>
              <w:spacing w:line="240" w:lineRule="atLeast"/>
              <w:rPr>
                <w:rFonts w:ascii="仿宋_GB2312"/>
                <w:color w:val="000000"/>
                <w:sz w:val="28"/>
              </w:rPr>
            </w:pPr>
          </w:p>
        </w:tc>
      </w:tr>
      <w:tr w:rsidR="00E02B8C" w:rsidTr="002500B6">
        <w:trPr>
          <w:trHeight w:val="845"/>
        </w:trPr>
        <w:tc>
          <w:tcPr>
            <w:tcW w:w="1450" w:type="dxa"/>
            <w:vAlign w:val="center"/>
          </w:tcPr>
          <w:p w:rsidR="00E02B8C" w:rsidRDefault="00E02B8C" w:rsidP="002500B6">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E02B8C" w:rsidRDefault="00E02B8C" w:rsidP="002500B6">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E02B8C" w:rsidRDefault="00E02B8C" w:rsidP="002500B6">
            <w:pPr>
              <w:spacing w:line="260" w:lineRule="exact"/>
              <w:rPr>
                <w:rFonts w:ascii="仿宋" w:eastAsia="仿宋" w:hAnsi="仿宋" w:cs="仿宋"/>
                <w:color w:val="000000"/>
                <w:sz w:val="24"/>
                <w:szCs w:val="24"/>
              </w:rPr>
            </w:pPr>
            <w:r>
              <w:rPr>
                <w:rFonts w:ascii="仿宋" w:eastAsia="仿宋" w:hAnsi="仿宋" w:cs="仿宋" w:hint="eastAsia"/>
                <w:color w:val="000000"/>
                <w:sz w:val="24"/>
                <w:szCs w:val="24"/>
              </w:rPr>
              <w:t>余 静 刘永辉 许晓玲</w:t>
            </w:r>
          </w:p>
          <w:p w:rsidR="00E02B8C" w:rsidRDefault="00E02B8C" w:rsidP="002500B6">
            <w:pPr>
              <w:spacing w:line="260" w:lineRule="exact"/>
              <w:rPr>
                <w:rFonts w:ascii="仿宋_GB2312" w:hAnsi="华文中宋"/>
                <w:color w:val="000000"/>
                <w:sz w:val="28"/>
              </w:rPr>
            </w:pPr>
            <w:r>
              <w:rPr>
                <w:rFonts w:ascii="仿宋" w:eastAsia="仿宋" w:hAnsi="仿宋" w:cs="仿宋" w:hint="eastAsia"/>
                <w:color w:val="000000"/>
                <w:sz w:val="24"/>
                <w:szCs w:val="24"/>
              </w:rPr>
              <w:t>林 锐 陈丹梅</w:t>
            </w:r>
          </w:p>
        </w:tc>
        <w:tc>
          <w:tcPr>
            <w:tcW w:w="855" w:type="dxa"/>
            <w:vAlign w:val="center"/>
          </w:tcPr>
          <w:p w:rsidR="00E02B8C" w:rsidRDefault="00E02B8C" w:rsidP="002500B6">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E02B8C" w:rsidRDefault="00E02B8C" w:rsidP="002500B6">
            <w:pPr>
              <w:spacing w:line="300" w:lineRule="exact"/>
              <w:rPr>
                <w:rFonts w:ascii="仿宋" w:eastAsia="仿宋" w:hAnsi="仿宋"/>
                <w:color w:val="000000"/>
                <w:w w:val="95"/>
                <w:szCs w:val="21"/>
              </w:rPr>
            </w:pPr>
            <w:r>
              <w:rPr>
                <w:rFonts w:ascii="仿宋_GB2312" w:eastAsia="仿宋_GB2312" w:hAnsi="仿宋" w:hint="eastAsia"/>
                <w:sz w:val="28"/>
                <w:szCs w:val="28"/>
              </w:rPr>
              <w:t>许晨聪 郑国雄 陈</w:t>
            </w:r>
            <w:r>
              <w:rPr>
                <w:rFonts w:ascii="仿宋_GB2312" w:hAnsi="仿宋" w:hint="eastAsia"/>
                <w:sz w:val="28"/>
                <w:szCs w:val="28"/>
              </w:rPr>
              <w:t xml:space="preserve"> </w:t>
            </w:r>
            <w:r>
              <w:rPr>
                <w:rFonts w:ascii="仿宋_GB2312" w:eastAsia="仿宋_GB2312" w:hAnsi="仿宋" w:hint="eastAsia"/>
                <w:sz w:val="28"/>
                <w:szCs w:val="28"/>
              </w:rPr>
              <w:t>霖</w:t>
            </w:r>
          </w:p>
        </w:tc>
      </w:tr>
      <w:tr w:rsidR="00E02B8C" w:rsidTr="002500B6">
        <w:trPr>
          <w:cantSplit/>
          <w:trHeight w:val="767"/>
        </w:trPr>
        <w:tc>
          <w:tcPr>
            <w:tcW w:w="1450" w:type="dxa"/>
            <w:vAlign w:val="center"/>
          </w:tcPr>
          <w:p w:rsidR="00E02B8C" w:rsidRDefault="00E02B8C" w:rsidP="002500B6">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E02B8C" w:rsidRDefault="00E02B8C" w:rsidP="002500B6">
            <w:pPr>
              <w:spacing w:line="300" w:lineRule="exact"/>
              <w:ind w:firstLine="420"/>
              <w:rPr>
                <w:rFonts w:ascii="仿宋_GB2312" w:hAnsi="仿宋"/>
                <w:color w:val="000000"/>
                <w:szCs w:val="21"/>
              </w:rPr>
            </w:pPr>
            <w:r>
              <w:rPr>
                <w:rFonts w:ascii="仿宋_GB2312" w:eastAsia="仿宋_GB2312" w:hAnsi="华文中宋" w:hint="eastAsia"/>
                <w:sz w:val="28"/>
                <w:szCs w:val="28"/>
              </w:rPr>
              <w:t>湄洲日报社</w:t>
            </w:r>
          </w:p>
        </w:tc>
        <w:tc>
          <w:tcPr>
            <w:tcW w:w="855" w:type="dxa"/>
            <w:vAlign w:val="center"/>
          </w:tcPr>
          <w:p w:rsidR="00E02B8C" w:rsidRDefault="00E02B8C" w:rsidP="002500B6">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E02B8C" w:rsidRDefault="00E02B8C" w:rsidP="002500B6">
            <w:pPr>
              <w:spacing w:line="300" w:lineRule="exact"/>
              <w:rPr>
                <w:rFonts w:ascii="仿宋_GB2312" w:hAnsi="仿宋"/>
                <w:color w:val="000000"/>
                <w:sz w:val="18"/>
                <w:szCs w:val="18"/>
                <w:highlight w:val="green"/>
              </w:rPr>
            </w:pPr>
            <w:r>
              <w:rPr>
                <w:rFonts w:ascii="仿宋_GB2312" w:eastAsia="仿宋_GB2312" w:hAnsi="仿宋" w:hint="eastAsia"/>
                <w:sz w:val="28"/>
                <w:szCs w:val="28"/>
              </w:rPr>
              <w:t>湄洲日报社</w:t>
            </w:r>
          </w:p>
        </w:tc>
      </w:tr>
      <w:tr w:rsidR="00E02B8C" w:rsidTr="002500B6">
        <w:trPr>
          <w:cantSplit/>
          <w:trHeight w:hRule="exact" w:val="1028"/>
        </w:trPr>
        <w:tc>
          <w:tcPr>
            <w:tcW w:w="1450" w:type="dxa"/>
            <w:vAlign w:val="center"/>
          </w:tcPr>
          <w:p w:rsidR="00E02B8C" w:rsidRDefault="00E02B8C" w:rsidP="002500B6">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rsidR="00E02B8C" w:rsidRDefault="00E02B8C" w:rsidP="002500B6">
            <w:pPr>
              <w:spacing w:line="260" w:lineRule="exact"/>
              <w:rPr>
                <w:rFonts w:ascii="仿宋_GB2312" w:hAnsi="仿宋"/>
                <w:color w:val="000000"/>
                <w:szCs w:val="21"/>
              </w:rPr>
            </w:pPr>
            <w:r>
              <w:rPr>
                <w:rFonts w:ascii="仿宋" w:eastAsia="仿宋" w:hAnsi="仿宋" w:cs="仿宋" w:hint="eastAsia"/>
                <w:color w:val="000000"/>
                <w:spacing w:val="-11"/>
                <w:sz w:val="24"/>
                <w:szCs w:val="18"/>
              </w:rPr>
              <w:t>“莆田新闻”微信公众号</w:t>
            </w:r>
          </w:p>
        </w:tc>
        <w:tc>
          <w:tcPr>
            <w:tcW w:w="855" w:type="dxa"/>
            <w:vAlign w:val="center"/>
          </w:tcPr>
          <w:p w:rsidR="00E02B8C" w:rsidRDefault="00E02B8C" w:rsidP="002500B6">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E02B8C" w:rsidRDefault="00E02B8C" w:rsidP="002500B6">
            <w:pPr>
              <w:spacing w:line="300" w:lineRule="exact"/>
              <w:rPr>
                <w:rFonts w:ascii="仿宋_GB2312" w:hAnsi="仿宋"/>
                <w:color w:val="000000"/>
                <w:szCs w:val="21"/>
              </w:rPr>
            </w:pPr>
            <w:r>
              <w:rPr>
                <w:rFonts w:ascii="仿宋_GB2312" w:eastAsia="仿宋_GB2312" w:hAnsi="华文中宋" w:hint="eastAsia"/>
                <w:sz w:val="28"/>
                <w:szCs w:val="28"/>
              </w:rPr>
              <w:t>2022年3月3日21时36分</w:t>
            </w:r>
          </w:p>
        </w:tc>
      </w:tr>
      <w:tr w:rsidR="00E02B8C" w:rsidTr="002500B6">
        <w:trPr>
          <w:cantSplit/>
          <w:trHeight w:hRule="exact" w:val="689"/>
        </w:trPr>
        <w:tc>
          <w:tcPr>
            <w:tcW w:w="2827" w:type="dxa"/>
            <w:gridSpan w:val="2"/>
            <w:vAlign w:val="center"/>
          </w:tcPr>
          <w:p w:rsidR="00E02B8C" w:rsidRDefault="00E02B8C" w:rsidP="002500B6">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E02B8C" w:rsidRDefault="00E02B8C" w:rsidP="002500B6">
            <w:pPr>
              <w:spacing w:line="260" w:lineRule="exact"/>
              <w:rPr>
                <w:rFonts w:ascii="华文中宋" w:eastAsia="华文中宋" w:hAnsi="华文中宋"/>
                <w:color w:val="000000"/>
                <w:sz w:val="28"/>
              </w:rPr>
            </w:pPr>
            <w:r>
              <w:rPr>
                <w:rFonts w:ascii="仿宋" w:eastAsia="仿宋" w:hAnsi="仿宋" w:cs="仿宋" w:hint="eastAsia"/>
                <w:color w:val="000000"/>
                <w:sz w:val="24"/>
                <w:szCs w:val="18"/>
              </w:rPr>
              <w:t>https://mp.weixin.qq.com/s/_3E_ldAOc5h-shLSjGucXg</w:t>
            </w:r>
          </w:p>
        </w:tc>
      </w:tr>
      <w:tr w:rsidR="00E02B8C" w:rsidTr="002500B6">
        <w:trPr>
          <w:cantSplit/>
          <w:trHeight w:val="3041"/>
        </w:trPr>
        <w:tc>
          <w:tcPr>
            <w:tcW w:w="1450" w:type="dxa"/>
            <w:vAlign w:val="center"/>
          </w:tcPr>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介程</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rsidR="00E02B8C" w:rsidRDefault="00E02B8C" w:rsidP="002500B6">
            <w:pPr>
              <w:spacing w:line="220" w:lineRule="exact"/>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rPr>
              <w:t>特殊学校生源出现短缺，教师面临“失业”和转型。在组织喜迎党的二十大召开报道时，报社获悉这一罕见素材。“忧”的背后，却是可圈可点的“喜”。</w:t>
            </w:r>
          </w:p>
          <w:p w:rsidR="00E02B8C" w:rsidRDefault="00E02B8C" w:rsidP="002500B6">
            <w:pPr>
              <w:spacing w:line="220" w:lineRule="exact"/>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rPr>
              <w:t>随着我国对残疾人事业保障力度越来越大，过去听障学生招生，设置条件还门庭若市，如今“零门槛”，还招不到学生。这一强烈对比反差，题材的独特性、鲜活性、现实性所蕴藏的信息量和折射的重大意义不言而喻。</w:t>
            </w:r>
          </w:p>
          <w:p w:rsidR="00E02B8C" w:rsidRDefault="00E02B8C" w:rsidP="002500B6">
            <w:pPr>
              <w:spacing w:line="220" w:lineRule="exact"/>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rPr>
              <w:t>这所学校是当地有名的老先进典型。俗话说“十聋九哑”，是指因为“聋”听不到声音，就不知道发音，直接导致“哑”，为此必须及时进行人工干预。在6周岁前若无治疗，长大后即便植入人工耳蜗，也很难再学会说话。而人工耳蜗植入和康复费用不低于20万元，很多家庭难以承受。为破解难题，探索“标本兼治”，莆田市3年财政投入2200多万元，为7.5万多名新生儿免费提供遗传性耳聋基因筛查。</w:t>
            </w:r>
          </w:p>
          <w:p w:rsidR="00E02B8C" w:rsidRDefault="00E02B8C" w:rsidP="002500B6">
            <w:pPr>
              <w:spacing w:line="220" w:lineRule="exact"/>
              <w:ind w:firstLineChars="200" w:firstLine="420"/>
              <w:rPr>
                <w:rFonts w:ascii="仿宋" w:eastAsia="仿宋" w:hAnsi="仿宋"/>
                <w:color w:val="000000"/>
                <w:w w:val="95"/>
                <w:szCs w:val="21"/>
              </w:rPr>
            </w:pPr>
            <w:r>
              <w:rPr>
                <w:rFonts w:ascii="仿宋" w:eastAsia="仿宋" w:hAnsi="仿宋" w:cs="仿宋" w:hint="eastAsia"/>
                <w:color w:val="000000"/>
                <w:sz w:val="21"/>
                <w:szCs w:val="21"/>
              </w:rPr>
              <w:t>老典型新鲜事，报道如何做出彩？报社全媒体进行精心策划，选在全国“爱耳日”，派出采访团队，捕捉攫取现场细节、画面，前后方互动，以视频+文字+图片形式，融合一体，当天发布，传递这一“盲点”报道的民生喜讯。</w:t>
            </w:r>
          </w:p>
        </w:tc>
      </w:tr>
      <w:tr w:rsidR="00E02B8C" w:rsidTr="002500B6">
        <w:trPr>
          <w:cantSplit/>
          <w:trHeight w:hRule="exact" w:val="1276"/>
        </w:trPr>
        <w:tc>
          <w:tcPr>
            <w:tcW w:w="1450" w:type="dxa"/>
            <w:vAlign w:val="center"/>
          </w:tcPr>
          <w:p w:rsidR="00E02B8C" w:rsidRDefault="00E02B8C" w:rsidP="002500B6">
            <w:pPr>
              <w:spacing w:line="30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E02B8C" w:rsidRDefault="00E02B8C" w:rsidP="002500B6">
            <w:pPr>
              <w:spacing w:line="30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E02B8C" w:rsidRDefault="00E02B8C" w:rsidP="002500B6">
            <w:pPr>
              <w:spacing w:line="30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E02B8C" w:rsidRDefault="00E02B8C" w:rsidP="002500B6">
            <w:pPr>
              <w:spacing w:line="30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E02B8C" w:rsidRDefault="00E02B8C" w:rsidP="002500B6">
            <w:pPr>
              <w:spacing w:line="280" w:lineRule="exact"/>
              <w:ind w:firstLine="420"/>
              <w:rPr>
                <w:rFonts w:ascii="仿宋" w:eastAsia="仿宋" w:hAnsi="仿宋"/>
                <w:color w:val="000000"/>
                <w:szCs w:val="21"/>
              </w:rPr>
            </w:pPr>
            <w:r>
              <w:rPr>
                <w:rFonts w:ascii="仿宋" w:eastAsia="仿宋" w:hAnsi="仿宋" w:cs="仿宋" w:hint="eastAsia"/>
                <w:color w:val="000000"/>
                <w:sz w:val="24"/>
                <w:szCs w:val="18"/>
              </w:rPr>
              <w:t>作品在微信公众号“莆田新闻”首发，同步在网站、微博、客户端等平台推出。人民日报客户端、央视网、中新网、中青网、腾讯网、搜狐网、新浪网、荆楚网、南国今报等媒体纷纷关注。一些媒体派出记者前往采访，跟进报道。</w:t>
            </w:r>
          </w:p>
        </w:tc>
      </w:tr>
      <w:tr w:rsidR="00E02B8C" w:rsidTr="002500B6">
        <w:trPr>
          <w:cantSplit/>
          <w:trHeight w:hRule="exact" w:val="2397"/>
        </w:trPr>
        <w:tc>
          <w:tcPr>
            <w:tcW w:w="1450" w:type="dxa"/>
            <w:tcBorders>
              <w:bottom w:val="single" w:sz="4" w:space="0" w:color="auto"/>
            </w:tcBorders>
            <w:vAlign w:val="center"/>
          </w:tcPr>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E02B8C" w:rsidRDefault="00E02B8C" w:rsidP="002500B6">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E02B8C" w:rsidRDefault="00E02B8C" w:rsidP="002500B6">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rsidR="00E02B8C" w:rsidRDefault="00E02B8C" w:rsidP="002500B6">
            <w:pPr>
              <w:spacing w:line="260" w:lineRule="exact"/>
              <w:ind w:firstLine="420"/>
              <w:rPr>
                <w:rFonts w:ascii="仿宋" w:eastAsia="仿宋" w:hAnsi="仿宋" w:cs="仿宋"/>
                <w:color w:val="000000"/>
                <w:sz w:val="24"/>
                <w:szCs w:val="18"/>
              </w:rPr>
            </w:pPr>
            <w:r>
              <w:rPr>
                <w:rFonts w:ascii="仿宋" w:eastAsia="仿宋" w:hAnsi="仿宋" w:cs="仿宋" w:hint="eastAsia"/>
                <w:color w:val="000000"/>
                <w:sz w:val="24"/>
                <w:szCs w:val="18"/>
              </w:rPr>
              <w:t>作品深度聚焦听障儿童，以触动人心的鲜活实例和亲和力，从一个基层侧面，深刻反映以人民为中心的发展思想，讴歌人民生活全方位改善。用真实故事、真情叙事，体现高质量发展带来的民生福祉，彰显爱和美好。</w:t>
            </w:r>
          </w:p>
          <w:p w:rsidR="00E02B8C" w:rsidRDefault="00E02B8C" w:rsidP="002500B6">
            <w:pPr>
              <w:spacing w:line="260" w:lineRule="exact"/>
              <w:ind w:firstLine="420"/>
              <w:rPr>
                <w:rFonts w:ascii="华文中宋" w:eastAsia="华文中宋" w:hAnsi="华文中宋"/>
                <w:color w:val="000000"/>
                <w:spacing w:val="-2"/>
                <w:sz w:val="28"/>
              </w:rPr>
            </w:pPr>
            <w:r>
              <w:rPr>
                <w:rFonts w:ascii="仿宋" w:eastAsia="仿宋" w:hAnsi="仿宋" w:cs="仿宋" w:hint="eastAsia"/>
                <w:color w:val="000000"/>
                <w:sz w:val="24"/>
                <w:szCs w:val="18"/>
              </w:rPr>
              <w:t xml:space="preserve">在喜迎党的二十大召开报道中，以别具一格、独具特色之“喜”，营造氛围、浓情喝彩。作品刊播后，在海内外产生反响，也是地方主流媒体加快构建中国话语和中国叙事体系的一个成功实践。 </w:t>
            </w:r>
            <w:r>
              <w:rPr>
                <w:rFonts w:ascii="华文中宋" w:eastAsia="华文中宋" w:hAnsi="华文中宋" w:hint="eastAsia"/>
                <w:color w:val="000000"/>
                <w:spacing w:val="-2"/>
                <w:sz w:val="28"/>
              </w:rPr>
              <w:t xml:space="preserve">                     </w:t>
            </w:r>
          </w:p>
          <w:p w:rsidR="00E02B8C" w:rsidRDefault="00E02B8C" w:rsidP="002500B6">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rsidR="00E02B8C" w:rsidRDefault="00E02B8C" w:rsidP="002500B6">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E02B8C" w:rsidRDefault="00E02B8C" w:rsidP="00E02B8C">
      <w:pPr>
        <w:spacing w:line="460" w:lineRule="exact"/>
        <w:outlineLvl w:val="1"/>
        <w:rPr>
          <w:rFonts w:ascii="华文仿宋" w:eastAsia="华文仿宋" w:hAnsi="华文仿宋"/>
          <w:bCs/>
          <w:color w:val="000000"/>
          <w:szCs w:val="32"/>
        </w:rPr>
        <w:sectPr w:rsidR="00E02B8C">
          <w:headerReference w:type="even" r:id="rId6"/>
          <w:headerReference w:type="default" r:id="rId7"/>
          <w:footerReference w:type="default" r:id="rId8"/>
          <w:pgSz w:w="11906" w:h="16838"/>
          <w:pgMar w:top="1701" w:right="1418" w:bottom="1361" w:left="1418" w:header="851" w:footer="1418" w:gutter="0"/>
          <w:pgNumType w:fmt="numberInDash"/>
          <w:cols w:space="425"/>
          <w:docGrid w:type="lines" w:linePitch="312"/>
        </w:sect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D2" w:rsidRDefault="00EE5AD2" w:rsidP="00E02B8C">
      <w:pPr>
        <w:spacing w:after="0"/>
      </w:pPr>
      <w:r>
        <w:separator/>
      </w:r>
    </w:p>
  </w:endnote>
  <w:endnote w:type="continuationSeparator" w:id="0">
    <w:p w:rsidR="00EE5AD2" w:rsidRDefault="00EE5AD2" w:rsidP="00E02B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000" w:usb1="00000000" w:usb2="00000000" w:usb3="00000000" w:csb0="0004009F" w:csb1="DFD7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C" w:rsidRDefault="00E02B8C">
    <w:pPr>
      <w:pStyle w:val="a4"/>
      <w:ind w:right="360" w:firstLine="360"/>
    </w:pPr>
    <w:r>
      <w:pict>
        <v:shapetype id="_x0000_t202" coordsize="21600,21600" o:spt="202" path="m,l,21600r21600,l21600,xe">
          <v:stroke joinstyle="miter"/>
          <v:path gradientshapeok="t" o:connecttype="rect"/>
        </v:shapetype>
        <v:shape id="_x0000_s5121" type="#_x0000_t202" style="position:absolute;left:0;text-align:left;margin-left:465.75pt;margin-top:-.9pt;width:2in;height:2in;z-index:251658240;mso-wrap-style:none;mso-position-horizontal-relative:page"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filled="f" stroked="f" strokeweight=".5pt">
          <v:textbox style="mso-fit-shape-to-text:t" inset="0,0,0,0">
            <w:txbxContent>
              <w:p w:rsidR="00E02B8C" w:rsidRDefault="00E02B8C">
                <w:pPr>
                  <w:pStyle w:val="a4"/>
                  <w:ind w:firstLine="560"/>
                  <w:rPr>
                    <w:rStyle w:val="a5"/>
                    <w:sz w:val="28"/>
                  </w:rPr>
                </w:pPr>
                <w:r>
                  <w:rPr>
                    <w:rStyle w:val="a5"/>
                    <w:rFonts w:ascii="仿宋" w:eastAsia="仿宋" w:hAnsi="仿宋" w:cs="仿宋" w:hint="eastAsia"/>
                    <w:sz w:val="28"/>
                  </w:rPr>
                  <w:fldChar w:fldCharType="begin"/>
                </w:r>
                <w:r>
                  <w:rPr>
                    <w:rStyle w:val="a5"/>
                    <w:rFonts w:ascii="仿宋" w:eastAsia="仿宋" w:hAnsi="仿宋" w:cs="仿宋" w:hint="eastAsia"/>
                    <w:sz w:val="28"/>
                  </w:rPr>
                  <w:instrText xml:space="preserve">PAGE  </w:instrText>
                </w:r>
                <w:r>
                  <w:rPr>
                    <w:rStyle w:val="a5"/>
                    <w:rFonts w:ascii="仿宋" w:eastAsia="仿宋" w:hAnsi="仿宋" w:cs="仿宋" w:hint="eastAsia"/>
                    <w:sz w:val="28"/>
                  </w:rPr>
                  <w:fldChar w:fldCharType="separate"/>
                </w:r>
                <w:r>
                  <w:rPr>
                    <w:rStyle w:val="a5"/>
                    <w:rFonts w:ascii="仿宋" w:eastAsia="仿宋" w:hAnsi="仿宋" w:cs="仿宋"/>
                    <w:noProof/>
                    <w:sz w:val="28"/>
                  </w:rPr>
                  <w:t>- 1 -</w:t>
                </w:r>
                <w:r>
                  <w:rPr>
                    <w:rStyle w:val="a5"/>
                    <w:rFonts w:ascii="仿宋" w:eastAsia="仿宋" w:hAnsi="仿宋" w:cs="仿宋" w:hint="eastAsia"/>
                    <w:sz w:val="28"/>
                  </w:rPr>
                  <w:fldChar w:fldCharType="end"/>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D2" w:rsidRDefault="00EE5AD2" w:rsidP="00E02B8C">
      <w:pPr>
        <w:spacing w:after="0"/>
      </w:pPr>
      <w:r>
        <w:separator/>
      </w:r>
    </w:p>
  </w:footnote>
  <w:footnote w:type="continuationSeparator" w:id="0">
    <w:p w:rsidR="00EE5AD2" w:rsidRDefault="00EE5AD2" w:rsidP="00E02B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C" w:rsidRDefault="00E02B8C">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C" w:rsidRDefault="00E02B8C">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C2952"/>
    <w:rsid w:val="00D31D50"/>
    <w:rsid w:val="00E02B8C"/>
    <w:rsid w:val="00EE5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B8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02B8C"/>
    <w:rPr>
      <w:rFonts w:ascii="Tahoma" w:hAnsi="Tahoma"/>
      <w:sz w:val="18"/>
      <w:szCs w:val="18"/>
    </w:rPr>
  </w:style>
  <w:style w:type="paragraph" w:styleId="a4">
    <w:name w:val="footer"/>
    <w:basedOn w:val="a"/>
    <w:link w:val="Char0"/>
    <w:uiPriority w:val="99"/>
    <w:unhideWhenUsed/>
    <w:qFormat/>
    <w:rsid w:val="00E02B8C"/>
    <w:pPr>
      <w:tabs>
        <w:tab w:val="center" w:pos="4153"/>
        <w:tab w:val="right" w:pos="8306"/>
      </w:tabs>
    </w:pPr>
    <w:rPr>
      <w:sz w:val="18"/>
      <w:szCs w:val="18"/>
    </w:rPr>
  </w:style>
  <w:style w:type="character" w:customStyle="1" w:styleId="Char0">
    <w:name w:val="页脚 Char"/>
    <w:basedOn w:val="a0"/>
    <w:link w:val="a4"/>
    <w:uiPriority w:val="99"/>
    <w:qFormat/>
    <w:rsid w:val="00E02B8C"/>
    <w:rPr>
      <w:rFonts w:ascii="Tahoma" w:hAnsi="Tahoma"/>
      <w:sz w:val="18"/>
      <w:szCs w:val="18"/>
    </w:rPr>
  </w:style>
  <w:style w:type="paragraph" w:styleId="3">
    <w:name w:val="Body Text 3"/>
    <w:basedOn w:val="a"/>
    <w:link w:val="3Char"/>
    <w:uiPriority w:val="99"/>
    <w:unhideWhenUsed/>
    <w:qFormat/>
    <w:rsid w:val="00E02B8C"/>
    <w:pPr>
      <w:widowControl w:val="0"/>
      <w:adjustRightInd/>
      <w:snapToGrid/>
      <w:spacing w:after="120"/>
      <w:jc w:val="both"/>
    </w:pPr>
    <w:rPr>
      <w:rFonts w:asciiTheme="minorHAnsi" w:eastAsia="仿宋_GB2312" w:hAnsiTheme="minorHAnsi"/>
      <w:kern w:val="2"/>
      <w:sz w:val="16"/>
      <w:szCs w:val="16"/>
    </w:rPr>
  </w:style>
  <w:style w:type="character" w:customStyle="1" w:styleId="3Char">
    <w:name w:val="正文文本 3 Char"/>
    <w:basedOn w:val="a0"/>
    <w:link w:val="3"/>
    <w:uiPriority w:val="99"/>
    <w:rsid w:val="00E02B8C"/>
    <w:rPr>
      <w:rFonts w:eastAsia="仿宋_GB2312"/>
      <w:kern w:val="2"/>
      <w:sz w:val="16"/>
      <w:szCs w:val="16"/>
    </w:rPr>
  </w:style>
  <w:style w:type="character" w:styleId="a5">
    <w:name w:val="page number"/>
    <w:basedOn w:val="a0"/>
    <w:qFormat/>
    <w:rsid w:val="00E02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2023-05-15T10:07:00Z</dcterms:modified>
</cp:coreProperties>
</file>