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4"/>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855"/>
        <w:gridCol w:w="135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Merge w:val="restart"/>
            <w:vAlign w:val="center"/>
          </w:tcPr>
          <w:p>
            <w:pPr>
              <w:spacing w:line="260" w:lineRule="exact"/>
              <w:rPr>
                <w:rFonts w:ascii="宋体" w:hAnsi="宋体" w:eastAsia="宋体"/>
                <w:color w:val="000000"/>
                <w:sz w:val="24"/>
                <w:szCs w:val="24"/>
              </w:rPr>
            </w:pPr>
            <w:r>
              <w:rPr>
                <w:rFonts w:hint="eastAsia" w:ascii="宋体" w:hAnsi="宋体" w:eastAsia="宋体" w:cs="仿宋"/>
                <w:color w:val="000000"/>
                <w:sz w:val="24"/>
                <w:szCs w:val="24"/>
              </w:rPr>
              <w:t>大陆电视节目对台传播的优势与不足</w:t>
            </w: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spacing w:line="260" w:lineRule="exact"/>
              <w:rPr>
                <w:rFonts w:ascii="宋体" w:hAnsi="宋体" w:eastAsia="宋体" w:cs="仿宋"/>
                <w:color w:val="000000"/>
                <w:sz w:val="24"/>
                <w:szCs w:val="24"/>
              </w:rPr>
            </w:pPr>
            <w:r>
              <w:rPr>
                <w:rFonts w:hint="eastAsia" w:ascii="宋体" w:hAnsi="宋体" w:eastAsia="宋体" w:cs="仿宋"/>
                <w:color w:val="000000"/>
                <w:sz w:val="24"/>
                <w:szCs w:val="24"/>
              </w:rPr>
              <w:t>新闻业务研究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rPr>
                <w:rFonts w:ascii="仿宋_GB2312" w:hAnsi="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60" w:lineRule="exact"/>
              <w:rPr>
                <w:rFonts w:ascii="仿宋_GB2312"/>
                <w:color w:val="000000"/>
                <w:sz w:val="28"/>
              </w:rPr>
            </w:pPr>
            <w:r>
              <w:rPr>
                <w:rFonts w:hint="eastAsia" w:ascii="宋体" w:hAnsi="宋体" w:eastAsia="宋体" w:cs="仿宋"/>
                <w:color w:val="000000"/>
                <w:sz w:val="24"/>
                <w:szCs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spacing w:line="260" w:lineRule="exact"/>
              <w:rPr>
                <w:rFonts w:ascii="宋体" w:hAnsi="宋体" w:eastAsia="宋体" w:cs="仿宋"/>
                <w:color w:val="000000"/>
                <w:sz w:val="24"/>
                <w:szCs w:val="24"/>
              </w:rPr>
            </w:pPr>
            <w:r>
              <w:rPr>
                <w:rFonts w:hint="eastAsia" w:ascii="宋体" w:hAnsi="宋体" w:eastAsia="宋体" w:cs="仿宋"/>
                <w:color w:val="000000"/>
                <w:sz w:val="24"/>
                <w:szCs w:val="24"/>
              </w:rPr>
              <w:t>潘宁</w:t>
            </w:r>
          </w:p>
        </w:tc>
        <w:tc>
          <w:tcPr>
            <w:tcW w:w="855"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2"/>
            <w:vAlign w:val="center"/>
          </w:tcPr>
          <w:p>
            <w:pPr>
              <w:spacing w:line="240" w:lineRule="exact"/>
              <w:rPr>
                <w:rFonts w:hint="default" w:ascii="仿宋" w:hAnsi="仿宋" w:eastAsia="仿宋"/>
                <w:color w:val="000000"/>
                <w:w w:val="95"/>
                <w:szCs w:val="21"/>
                <w:lang w:val="en-US" w:eastAsia="zh-CN"/>
              </w:rPr>
            </w:pPr>
            <w:r>
              <w:rPr>
                <w:rFonts w:hint="eastAsia" w:ascii="宋体" w:hAnsi="宋体" w:eastAsia="宋体" w:cs="仿宋"/>
                <w:color w:val="000000"/>
                <w:sz w:val="24"/>
                <w:szCs w:val="24"/>
                <w:lang w:val="en-US" w:eastAsia="zh-CN"/>
              </w:rPr>
              <w:t>李昂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rPr>
                <w:rFonts w:ascii="仿宋_GB2312" w:hAnsi="仿宋"/>
                <w:color w:val="000000"/>
                <w:spacing w:val="-20"/>
                <w:szCs w:val="21"/>
              </w:rPr>
            </w:pPr>
            <w:r>
              <w:rPr>
                <w:rFonts w:hint="eastAsia" w:ascii="宋体" w:hAnsi="宋体" w:eastAsia="宋体" w:cs="仿宋"/>
                <w:color w:val="000000"/>
                <w:sz w:val="24"/>
                <w:szCs w:val="24"/>
              </w:rPr>
              <w:t>福建省广播影视集团</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2"/>
            <w:vAlign w:val="center"/>
          </w:tcPr>
          <w:p>
            <w:pPr>
              <w:spacing w:line="260" w:lineRule="exact"/>
              <w:rPr>
                <w:rFonts w:ascii="仿宋_GB2312" w:hAnsi="仿宋"/>
                <w:color w:val="000000"/>
                <w:sz w:val="18"/>
                <w:szCs w:val="18"/>
                <w:highlight w:val="green"/>
              </w:rPr>
            </w:pPr>
            <w:r>
              <w:rPr>
                <w:rFonts w:hint="eastAsia" w:ascii="宋体" w:hAnsi="宋体" w:eastAsia="宋体" w:cs="仿宋"/>
                <w:color w:val="000000"/>
                <w:sz w:val="24"/>
                <w:szCs w:val="24"/>
              </w:rPr>
              <w:t>《中国广播电视学刊》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exact"/>
        </w:trPr>
        <w:tc>
          <w:tcPr>
            <w:tcW w:w="1450"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spacing w:line="260" w:lineRule="exact"/>
              <w:rPr>
                <w:rFonts w:ascii="宋体" w:hAnsi="宋体" w:eastAsia="宋体" w:cs="仿宋"/>
                <w:color w:val="000000"/>
                <w:sz w:val="24"/>
                <w:szCs w:val="24"/>
              </w:rPr>
            </w:pPr>
            <w:r>
              <w:rPr>
                <w:rFonts w:hint="eastAsia" w:ascii="宋体" w:hAnsi="宋体" w:eastAsia="宋体" w:cs="仿宋"/>
                <w:color w:val="000000"/>
                <w:sz w:val="24"/>
                <w:szCs w:val="24"/>
              </w:rPr>
              <w:t>总第3</w:t>
            </w:r>
            <w:r>
              <w:rPr>
                <w:rFonts w:ascii="宋体" w:hAnsi="宋体" w:eastAsia="宋体" w:cs="仿宋"/>
                <w:color w:val="000000"/>
                <w:sz w:val="24"/>
                <w:szCs w:val="24"/>
              </w:rPr>
              <w:t>71</w:t>
            </w:r>
            <w:r>
              <w:rPr>
                <w:rFonts w:hint="eastAsia" w:ascii="宋体" w:hAnsi="宋体" w:eastAsia="宋体" w:cs="仿宋"/>
                <w:color w:val="000000"/>
                <w:sz w:val="24"/>
                <w:szCs w:val="24"/>
              </w:rPr>
              <w:t>期《专论》栏目</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2"/>
            <w:vAlign w:val="center"/>
          </w:tcPr>
          <w:p>
            <w:pPr>
              <w:spacing w:line="260" w:lineRule="exact"/>
              <w:rPr>
                <w:rFonts w:hint="eastAsia" w:ascii="仿宋_GB2312" w:hAnsi="仿宋" w:eastAsia="宋体"/>
                <w:color w:val="000000"/>
                <w:szCs w:val="21"/>
                <w:lang w:val="en-US" w:eastAsia="zh-CN"/>
              </w:rPr>
            </w:pPr>
            <w:r>
              <w:rPr>
                <w:rFonts w:ascii="宋体" w:hAnsi="宋体" w:eastAsia="宋体" w:cs="仿宋"/>
                <w:color w:val="000000"/>
                <w:sz w:val="24"/>
                <w:szCs w:val="24"/>
              </w:rPr>
              <w:t>2022</w:t>
            </w:r>
            <w:bookmarkStart w:id="0" w:name="_GoBack"/>
            <w:bookmarkEnd w:id="0"/>
            <w:r>
              <w:rPr>
                <w:rFonts w:hint="eastAsia" w:ascii="宋体" w:hAnsi="宋体" w:eastAsia="宋体" w:cs="仿宋"/>
                <w:color w:val="000000"/>
                <w:sz w:val="24"/>
                <w:szCs w:val="24"/>
                <w:lang w:val="en-US" w:eastAsia="zh-CN"/>
              </w:rPr>
              <w:t>年</w:t>
            </w:r>
            <w:r>
              <w:rPr>
                <w:rFonts w:ascii="宋体" w:hAnsi="宋体" w:eastAsia="宋体" w:cs="仿宋"/>
                <w:color w:val="000000"/>
                <w:sz w:val="24"/>
                <w:szCs w:val="24"/>
              </w:rPr>
              <w:t>2</w:t>
            </w:r>
            <w:r>
              <w:rPr>
                <w:rFonts w:hint="eastAsia" w:ascii="宋体" w:hAnsi="宋体" w:eastAsia="宋体" w:cs="仿宋"/>
                <w:color w:val="000000"/>
                <w:sz w:val="24"/>
                <w:szCs w:val="24"/>
                <w:lang w:val="en-US" w:eastAsia="zh-CN"/>
              </w:rPr>
              <w:t>月</w:t>
            </w:r>
            <w:r>
              <w:rPr>
                <w:rFonts w:ascii="宋体" w:hAnsi="宋体" w:eastAsia="宋体" w:cs="仿宋"/>
                <w:color w:val="000000"/>
                <w:sz w:val="24"/>
                <w:szCs w:val="24"/>
              </w:rPr>
              <w:t>1</w:t>
            </w:r>
            <w:r>
              <w:rPr>
                <w:rFonts w:hint="eastAsia" w:ascii="宋体" w:hAnsi="宋体" w:eastAsia="宋体" w:cs="仿宋"/>
                <w:color w:val="000000"/>
                <w:sz w:val="24"/>
                <w:szCs w:val="24"/>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exact"/>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4"/>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vAlign w:val="center"/>
          </w:tcPr>
          <w:p>
            <w:pPr>
              <w:spacing w:line="260" w:lineRule="exact"/>
              <w:ind w:firstLine="480" w:firstLineChars="200"/>
              <w:rPr>
                <w:rFonts w:ascii="宋体" w:hAnsi="宋体" w:eastAsia="宋体" w:cs="仿宋"/>
                <w:color w:val="000000"/>
                <w:sz w:val="24"/>
                <w:szCs w:val="24"/>
              </w:rPr>
            </w:pPr>
            <w:r>
              <w:rPr>
                <w:rFonts w:hint="eastAsia" w:ascii="宋体" w:hAnsi="宋体" w:eastAsia="宋体" w:cs="仿宋"/>
                <w:color w:val="000000"/>
                <w:sz w:val="24"/>
                <w:szCs w:val="24"/>
              </w:rPr>
              <w:t>本篇论文介绍了台湾自产电视节目概况，并通过台文化部门发布的大陆地区广播电视节目申请在台播送许可案一览表的数据统计，画出十年来许可件数中间高两头低的橄榄状变化样态，以此探究台湾民众对于大陆制作电视节目的观看偏好，展现大陆电视节目在台湾的传播情况。该论文引入社会判断理论，通过对观众既有观点与态度变化之间的关联进行观察，研究其改变观点的可能性，进而分析大陆电视节目在对台传播方面的优势和不足，以此反推节目的生产制作以及宣传推广的改进之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7" w:hRule="exact"/>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5"/>
            <w:vAlign w:val="center"/>
          </w:tcPr>
          <w:p>
            <w:pPr>
              <w:spacing w:line="260" w:lineRule="exact"/>
              <w:ind w:firstLine="480" w:firstLineChars="200"/>
              <w:rPr>
                <w:rFonts w:ascii="宋体" w:hAnsi="宋体" w:eastAsia="宋体" w:cs="仿宋"/>
                <w:color w:val="000000"/>
                <w:sz w:val="24"/>
                <w:szCs w:val="24"/>
              </w:rPr>
            </w:pPr>
            <w:r>
              <w:rPr>
                <w:rFonts w:hint="eastAsia" w:ascii="宋体" w:hAnsi="宋体" w:eastAsia="宋体" w:cs="仿宋"/>
                <w:color w:val="000000"/>
                <w:sz w:val="24"/>
                <w:szCs w:val="24"/>
              </w:rPr>
              <w:t>本篇论文作为国家广播电视总局部级社科研究项目《新时代电视节目海外传播策略研究》的成果之一，发表在国家级核心期刊《中国广播电视学刊》</w:t>
            </w:r>
            <w:r>
              <w:rPr>
                <w:rFonts w:ascii="宋体" w:hAnsi="宋体" w:eastAsia="宋体" w:cs="仿宋"/>
                <w:color w:val="000000"/>
                <w:sz w:val="24"/>
                <w:szCs w:val="24"/>
              </w:rPr>
              <w:t>2022年第2期。其被《知网》收录后，截至2023年4月18日，已被下载242次</w:t>
            </w:r>
            <w:r>
              <w:rPr>
                <w:rFonts w:hint="eastAsia" w:ascii="宋体" w:hAnsi="宋体" w:eastAsia="宋体" w:cs="仿宋"/>
                <w:color w:val="000000"/>
                <w:sz w:val="24"/>
                <w:szCs w:val="24"/>
              </w:rPr>
              <w:t>，被引用1次</w:t>
            </w:r>
            <w:r>
              <w:rPr>
                <w:rFonts w:ascii="宋体" w:hAnsi="宋体" w:eastAsia="宋体" w:cs="仿宋"/>
                <w:color w:val="000000"/>
                <w:sz w:val="24"/>
                <w:szCs w:val="24"/>
              </w:rPr>
              <w:t>。论文把实务经验与偏好研究相结合，审视大陆电视节目对台传播的优势和不足，从而对大陆电视节目在内容和形态等方面提出改进建议，以期加强对台传播效果。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1" w:hRule="exact"/>
        </w:trPr>
        <w:tc>
          <w:tcPr>
            <w:tcW w:w="1450"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tcBorders>
              <w:bottom w:val="single" w:color="auto" w:sz="4" w:space="0"/>
            </w:tcBorders>
            <w:vAlign w:val="center"/>
          </w:tcPr>
          <w:p>
            <w:pPr>
              <w:spacing w:line="260" w:lineRule="exact"/>
              <w:ind w:firstLine="480" w:firstLineChars="200"/>
              <w:rPr>
                <w:rFonts w:ascii="宋体" w:hAnsi="宋体" w:eastAsia="宋体"/>
                <w:color w:val="000000"/>
                <w:sz w:val="24"/>
                <w:szCs w:val="24"/>
              </w:rPr>
            </w:pPr>
            <w:r>
              <w:rPr>
                <w:rFonts w:hint="eastAsia" w:ascii="宋体" w:hAnsi="宋体" w:eastAsia="宋体"/>
                <w:color w:val="000000"/>
                <w:sz w:val="24"/>
                <w:szCs w:val="24"/>
              </w:rPr>
              <w:t>本篇论文是国家广播电视总局部级社科研究项目的一个具体成果，其方向性、指导性、实践性意义突出。文章结构紧密，数据丰富，理论扎实，论述到位，予以推荐。</w:t>
            </w:r>
          </w:p>
          <w:p>
            <w:pPr>
              <w:spacing w:line="36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年4</w:t>
            </w:r>
            <w:r>
              <w:rPr>
                <w:rFonts w:hint="eastAsia" w:ascii="华文中宋" w:hAnsi="华文中宋" w:eastAsia="华文中宋"/>
                <w:color w:val="000000"/>
                <w:sz w:val="28"/>
              </w:rPr>
              <w:t>月</w:t>
            </w:r>
            <w:r>
              <w:rPr>
                <w:rFonts w:ascii="华文中宋" w:hAnsi="华文中宋" w:eastAsia="华文中宋"/>
                <w:color w:val="000000"/>
                <w:sz w:val="28"/>
              </w:rPr>
              <w:t>18</w:t>
            </w:r>
            <w:r>
              <w:rPr>
                <w:rFonts w:hint="eastAsia" w:ascii="华文中宋" w:hAnsi="华文中宋" w:eastAsia="华文中宋"/>
                <w:color w:val="000000"/>
                <w:sz w:val="28"/>
              </w:rPr>
              <w:t>日</w:t>
            </w:r>
          </w:p>
        </w:tc>
      </w:tr>
    </w:tbl>
    <w:p/>
    <w:sectPr>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Malgun Gothic Semilight"/>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2MmE1NGUyMDA5OGFiMmQxZjlhMjAyMGJjM2VlYjkifQ=="/>
  </w:docVars>
  <w:rsids>
    <w:rsidRoot w:val="00E00505"/>
    <w:rsid w:val="0012488F"/>
    <w:rsid w:val="001D0DAF"/>
    <w:rsid w:val="00204806"/>
    <w:rsid w:val="00281B85"/>
    <w:rsid w:val="003A7B0C"/>
    <w:rsid w:val="004064D8"/>
    <w:rsid w:val="004531AA"/>
    <w:rsid w:val="00485C56"/>
    <w:rsid w:val="0058129A"/>
    <w:rsid w:val="005E395D"/>
    <w:rsid w:val="008B6A81"/>
    <w:rsid w:val="00A14E82"/>
    <w:rsid w:val="00BC70CC"/>
    <w:rsid w:val="00CF5273"/>
    <w:rsid w:val="00D044D5"/>
    <w:rsid w:val="00D40C3B"/>
    <w:rsid w:val="00E00505"/>
    <w:rsid w:val="00E523FD"/>
    <w:rsid w:val="00FE1A72"/>
    <w:rsid w:val="0E466708"/>
    <w:rsid w:val="68A57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eastAsia="仿宋_GB2312"/>
      <w:sz w:val="18"/>
      <w:szCs w:val="18"/>
    </w:rPr>
  </w:style>
  <w:style w:type="character" w:customStyle="1" w:styleId="7">
    <w:name w:val="页脚 字符"/>
    <w:basedOn w:val="5"/>
    <w:link w:val="2"/>
    <w:qFormat/>
    <w:uiPriority w:val="99"/>
    <w:rPr>
      <w:rFonts w:eastAsia="仿宋_GB231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1</Pages>
  <Words>635</Words>
  <Characters>653</Characters>
  <Lines>5</Lines>
  <Paragraphs>1</Paragraphs>
  <TotalTime>31</TotalTime>
  <ScaleCrop>false</ScaleCrop>
  <LinksUpToDate>false</LinksUpToDate>
  <CharactersWithSpaces>746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2023-04-25T08:49:00Z</dcterms:created>
  <dc:creator>hxxgx</dc:creator>
  <cp:lastModifiedBy>草草青青</cp:lastModifiedBy>
  <dcterms:modified xsi:type="dcterms:W3CDTF">2023-05-15T01:47:36Z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C29774710BEA472FB894BECDFEF239B2_12</vt:lpwstr>
  </property>
</Properties>
</file>