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197" w:lineRule="auto"/>
        <w:ind w:left="3062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pacing w:val="-6"/>
          <w:sz w:val="36"/>
          <w:szCs w:val="36"/>
        </w:rPr>
        <w:t>中</w:t>
      </w:r>
      <w:r>
        <w:rPr>
          <w:rFonts w:ascii="华文中宋" w:hAnsi="华文中宋" w:eastAsia="华文中宋" w:cs="华文中宋"/>
          <w:spacing w:val="-3"/>
          <w:sz w:val="36"/>
          <w:szCs w:val="36"/>
        </w:rPr>
        <w:t>国新闻奖参评作品推荐表</w:t>
      </w:r>
    </w:p>
    <w:p>
      <w:pPr>
        <w:spacing w:line="78" w:lineRule="exact"/>
      </w:pPr>
    </w:p>
    <w:tbl>
      <w:tblPr>
        <w:tblStyle w:val="8"/>
        <w:tblW w:w="10037" w:type="dxa"/>
        <w:tblInd w:w="-1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449"/>
        <w:gridCol w:w="1108"/>
        <w:gridCol w:w="1600"/>
        <w:gridCol w:w="1520"/>
        <w:gridCol w:w="849"/>
        <w:gridCol w:w="566"/>
        <w:gridCol w:w="2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81" w:type="dxa"/>
            <w:gridSpan w:val="2"/>
            <w:vMerge w:val="restart"/>
            <w:tcBorders>
              <w:bottom w:val="nil"/>
            </w:tcBorders>
          </w:tcPr>
          <w:p/>
          <w:p/>
          <w:p>
            <w:pPr>
              <w:spacing w:before="104"/>
              <w:ind w:left="22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作品标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>题</w:t>
            </w:r>
          </w:p>
        </w:tc>
        <w:tc>
          <w:tcPr>
            <w:tcW w:w="4228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Style w:val="9"/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如果古代有网络？《清明上河图》或许应该这样画……</w:t>
            </w:r>
          </w:p>
        </w:tc>
        <w:tc>
          <w:tcPr>
            <w:tcW w:w="1415" w:type="dxa"/>
            <w:gridSpan w:val="2"/>
          </w:tcPr>
          <w:p>
            <w:pPr>
              <w:spacing w:before="92"/>
              <w:ind w:left="14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参评项目</w:t>
            </w:r>
          </w:p>
        </w:tc>
        <w:tc>
          <w:tcPr>
            <w:tcW w:w="2713" w:type="dxa"/>
          </w:tcPr>
          <w:p>
            <w:pPr>
              <w:spacing w:before="92"/>
              <w:ind w:left="14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81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228" w:type="dxa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spacing w:before="92"/>
              <w:ind w:left="14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体裁</w:t>
            </w:r>
          </w:p>
        </w:tc>
        <w:tc>
          <w:tcPr>
            <w:tcW w:w="3279" w:type="dxa"/>
            <w:gridSpan w:val="2"/>
          </w:tcPr>
          <w:p>
            <w:pPr>
              <w:spacing w:before="92"/>
              <w:ind w:left="14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新媒体专题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81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422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spacing w:before="92"/>
              <w:ind w:left="14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语种</w:t>
            </w:r>
          </w:p>
        </w:tc>
        <w:tc>
          <w:tcPr>
            <w:tcW w:w="3279" w:type="dxa"/>
            <w:gridSpan w:val="2"/>
          </w:tcPr>
          <w:p>
            <w:pPr>
              <w:spacing w:before="92"/>
              <w:ind w:left="14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681" w:type="dxa"/>
            <w:gridSpan w:val="2"/>
          </w:tcPr>
          <w:p>
            <w:pPr>
              <w:tabs>
                <w:tab w:val="left" w:pos="282"/>
              </w:tabs>
              <w:spacing w:before="105" w:line="320" w:lineRule="exact"/>
              <w:ind w:left="163" w:right="137" w:firstLine="246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spacing w:val="5"/>
                <w:sz w:val="28"/>
                <w:szCs w:val="28"/>
              </w:rPr>
              <w:t xml:space="preserve">  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ab/>
            </w:r>
            <w:r>
              <w:rPr>
                <w:rFonts w:ascii="华文中宋" w:hAnsi="华文中宋" w:eastAsia="华文中宋" w:cs="华文中宋"/>
                <w:spacing w:val="-16"/>
                <w:sz w:val="24"/>
                <w:szCs w:val="24"/>
              </w:rPr>
              <w:t>(主创人员</w:t>
            </w:r>
            <w:r>
              <w:rPr>
                <w:rFonts w:ascii="华文中宋" w:hAnsi="华文中宋" w:eastAsia="华文中宋" w:cs="华文中宋"/>
                <w:spacing w:val="-15"/>
                <w:sz w:val="24"/>
                <w:szCs w:val="24"/>
              </w:rPr>
              <w:t>)</w:t>
            </w:r>
          </w:p>
        </w:tc>
        <w:tc>
          <w:tcPr>
            <w:tcW w:w="2708" w:type="dxa"/>
            <w:gridSpan w:val="2"/>
          </w:tcPr>
          <w:p>
            <w:pPr>
              <w:rPr>
                <w:rStyle w:val="9"/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杨豪、陈烁、王路遥、王丽美</w:t>
            </w:r>
          </w:p>
        </w:tc>
        <w:tc>
          <w:tcPr>
            <w:tcW w:w="1520" w:type="dxa"/>
          </w:tcPr>
          <w:p>
            <w:pPr>
              <w:spacing w:before="263"/>
              <w:ind w:left="50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编</w:t>
            </w: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辑</w:t>
            </w:r>
          </w:p>
        </w:tc>
        <w:tc>
          <w:tcPr>
            <w:tcW w:w="4128" w:type="dxa"/>
            <w:gridSpan w:val="3"/>
          </w:tcPr>
          <w:p>
            <w:pPr>
              <w:rPr>
                <w:rFonts w:eastAsia="宋体"/>
                <w:sz w:val="28"/>
                <w:szCs w:val="28"/>
                <w:lang w:eastAsia="zh-Hans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  <w:lang w:eastAsia="zh-Hans"/>
              </w:rPr>
              <w:t>郑溦、唐征宇、沈秋菊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81" w:type="dxa"/>
            <w:gridSpan w:val="2"/>
          </w:tcPr>
          <w:p>
            <w:pPr>
              <w:spacing w:before="104" w:line="320" w:lineRule="exact"/>
              <w:ind w:left="220"/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2708" w:type="dxa"/>
            <w:gridSpan w:val="2"/>
          </w:tcPr>
          <w:p>
            <w:pPr>
              <w:spacing w:before="104"/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1"/>
                <w:sz w:val="28"/>
                <w:szCs w:val="28"/>
              </w:rPr>
              <w:t>福建省广播影视集团</w:t>
            </w:r>
          </w:p>
        </w:tc>
        <w:tc>
          <w:tcPr>
            <w:tcW w:w="1520" w:type="dxa"/>
          </w:tcPr>
          <w:p>
            <w:pPr>
              <w:spacing w:before="104"/>
              <w:ind w:left="220"/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刊播单位</w:t>
            </w:r>
          </w:p>
        </w:tc>
        <w:tc>
          <w:tcPr>
            <w:tcW w:w="4128" w:type="dxa"/>
            <w:gridSpan w:val="3"/>
          </w:tcPr>
          <w:p>
            <w:pPr>
              <w:spacing w:before="104"/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1"/>
                <w:sz w:val="28"/>
                <w:szCs w:val="28"/>
              </w:rPr>
              <w:t>福建省广播影视集团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1" w:type="dxa"/>
            <w:gridSpan w:val="2"/>
          </w:tcPr>
          <w:p>
            <w:pPr>
              <w:spacing w:before="78" w:line="240" w:lineRule="atLeast"/>
              <w:ind w:left="193" w:right="159" w:firstLine="28"/>
              <w:rPr>
                <w:rFonts w:ascii="华文中宋" w:hAnsi="华文中宋" w:eastAsia="华文中宋" w:cs="华文中宋"/>
                <w:spacing w:val="8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9"/>
                <w:sz w:val="27"/>
                <w:szCs w:val="27"/>
              </w:rPr>
              <w:t>刊</w:t>
            </w:r>
            <w:r>
              <w:rPr>
                <w:rFonts w:ascii="华文中宋" w:hAnsi="华文中宋" w:eastAsia="华文中宋" w:cs="华文中宋"/>
                <w:spacing w:val="8"/>
                <w:sz w:val="27"/>
                <w:szCs w:val="27"/>
              </w:rPr>
              <w:t>播版面</w:t>
            </w:r>
          </w:p>
          <w:p>
            <w:pPr>
              <w:spacing w:before="78" w:line="240" w:lineRule="atLeast"/>
              <w:ind w:left="193" w:right="159" w:firstLine="28"/>
              <w:rPr>
                <w:rFonts w:ascii="华文中宋" w:hAnsi="华文中宋" w:eastAsia="华文中宋" w:cs="华文中宋"/>
                <w:sz w:val="23"/>
                <w:szCs w:val="23"/>
              </w:rPr>
            </w:pPr>
            <w:r>
              <w:rPr>
                <w:rFonts w:ascii="华文中宋" w:hAnsi="华文中宋" w:eastAsia="华文中宋" w:cs="华文中宋"/>
                <w:spacing w:val="-17"/>
                <w:sz w:val="22"/>
                <w:szCs w:val="22"/>
              </w:rPr>
              <w:t>(</w:t>
            </w:r>
            <w:r>
              <w:rPr>
                <w:rFonts w:ascii="华文中宋" w:hAnsi="华文中宋" w:eastAsia="华文中宋" w:cs="华文中宋"/>
                <w:spacing w:val="-14"/>
                <w:sz w:val="22"/>
                <w:szCs w:val="22"/>
              </w:rPr>
              <w:t>名称和版次)</w:t>
            </w:r>
          </w:p>
        </w:tc>
        <w:tc>
          <w:tcPr>
            <w:tcW w:w="2708" w:type="dxa"/>
            <w:gridSpan w:val="2"/>
          </w:tcPr>
          <w:p>
            <w:pPr>
              <w:rPr>
                <w:rStyle w:val="9"/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  <w:lang w:eastAsia="zh-Hans"/>
              </w:rPr>
              <w:t>海博TV客户端</w:t>
            </w:r>
          </w:p>
        </w:tc>
        <w:tc>
          <w:tcPr>
            <w:tcW w:w="1520" w:type="dxa"/>
          </w:tcPr>
          <w:p>
            <w:pPr>
              <w:spacing w:before="249"/>
              <w:ind w:left="22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刊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播日期</w:t>
            </w:r>
          </w:p>
        </w:tc>
        <w:tc>
          <w:tcPr>
            <w:tcW w:w="4128" w:type="dxa"/>
            <w:gridSpan w:val="3"/>
          </w:tcPr>
          <w:p>
            <w:pPr>
              <w:spacing w:before="146"/>
              <w:ind w:left="117" w:right="113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2021年4月25日21:22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89" w:type="dxa"/>
            <w:gridSpan w:val="3"/>
            <w:tcBorders>
              <w:right w:val="single" w:color="000000" w:sz="4" w:space="0"/>
            </w:tcBorders>
          </w:tcPr>
          <w:p>
            <w:pPr>
              <w:spacing w:before="274"/>
              <w:ind w:left="11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3"/>
                <w:sz w:val="28"/>
                <w:szCs w:val="28"/>
              </w:rPr>
              <w:t>新媒体作品填报网</w:t>
            </w:r>
            <w:r>
              <w:rPr>
                <w:rFonts w:ascii="华文中宋" w:hAnsi="华文中宋" w:eastAsia="华文中宋" w:cs="华文中宋"/>
                <w:spacing w:val="-12"/>
                <w:sz w:val="28"/>
                <w:szCs w:val="28"/>
              </w:rPr>
              <w:t>址</w:t>
            </w:r>
          </w:p>
        </w:tc>
        <w:tc>
          <w:tcPr>
            <w:tcW w:w="7248" w:type="dxa"/>
            <w:gridSpan w:val="5"/>
            <w:tcBorders>
              <w:left w:val="single" w:color="000000" w:sz="4" w:space="0"/>
            </w:tcBorders>
          </w:tcPr>
          <w:p>
            <w:pPr>
              <w:spacing w:line="360" w:lineRule="auto"/>
              <w:rPr>
                <w:rFonts w:eastAsia="宋体"/>
              </w:rPr>
            </w:pPr>
            <w:r>
              <w:fldChar w:fldCharType="begin"/>
            </w:r>
            <w:r>
              <w:instrText xml:space="preserve"> HYPERLINK "http://www.fjtv.net/folder1728/folder1729/folder3235/2021-04-25/3700076.html?_t=1619414939" </w:instrText>
            </w:r>
            <w:r>
              <w:fldChar w:fldCharType="separate"/>
            </w:r>
            <w:r>
              <w:rPr>
                <w:rStyle w:val="6"/>
                <w:rFonts w:hint="eastAsia"/>
                <w:color w:val="auto"/>
                <w:sz w:val="24"/>
                <w:szCs w:val="24"/>
                <w:u w:val="none"/>
              </w:rPr>
              <w:t>http://www.fjtv.net/folder1728/folder1729/folder3235/2021-04-25/3700076.html?_t=1619414939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1" w:hRule="atLeast"/>
        </w:trPr>
        <w:tc>
          <w:tcPr>
            <w:tcW w:w="1232" w:type="dxa"/>
          </w:tcPr>
          <w:p/>
          <w:p/>
          <w:p>
            <w:pPr>
              <w:spacing w:before="104"/>
              <w:ind w:left="5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"/>
              <w:ind w:left="27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采作</w:t>
            </w:r>
          </w:p>
          <w:p>
            <w:pPr>
              <w:ind w:left="28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编</w:t>
            </w: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品</w:t>
            </w:r>
          </w:p>
          <w:p>
            <w:pPr>
              <w:spacing w:before="1"/>
              <w:ind w:left="2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过简</w:t>
            </w:r>
          </w:p>
          <w:p>
            <w:pPr>
              <w:spacing w:before="2"/>
              <w:ind w:left="27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程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介</w:t>
            </w:r>
          </w:p>
          <w:p>
            <w:pPr>
              <w:spacing w:before="30"/>
              <w:ind w:left="56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-3"/>
                <w:sz w:val="28"/>
                <w:szCs w:val="28"/>
              </w:rPr>
              <w:t>︶</w:t>
            </w:r>
          </w:p>
        </w:tc>
        <w:tc>
          <w:tcPr>
            <w:tcW w:w="8805" w:type="dxa"/>
            <w:gridSpan w:val="7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4月25日，第四届数字中国建设峰会开幕。海博TV客户端于当天推出融媒体交互产品《如果古代有网络？&lt;清明上河图&gt;或许应该这样画……》，利用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先进的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“SVG互动技术+动画”形式，构筑了一幅数字版“清明上河图”，让峰会吉祥物“数娃”带着网友，穿越进古画中，一镜到底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畅想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古人的数字生活。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作品将“数娃”及部分画中场景制作成动画，借用原作呈现的赶集、宴饮、劳作、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航运、就医、住宿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等场景，让观图者以别样视角观察日常生活中的数字便利。通过SVG互动页面代码技术，将数娃的“我脸大，我来刷！”、外卖员的袋鼠耳朵，随用户浏览进度一盏盏亮起的灯笼等趣味元素，与页面有机结合，令用户得以沉浸式体验。展示了全国首个省级健康码“八闽健康码”等数字政务、数字公民、数字食品安全、数字农业、数字医疗、数字养老六大数字建设成果主题和数字党建等十个小场景。聚焦福建在习近平新时代中国特色社会主义思想指导下，作为数字中国建设探索源头和实践起点，如何践行数字创新，呈现“福建样本”催生出的国家战略——数字中国建设，释放出的更广范围、更高层级、更深程度的数字红利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该作品全媒体平台页面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累计阅读量（含视频点击量）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超375万，转发量超34万。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</w:trPr>
        <w:tc>
          <w:tcPr>
            <w:tcW w:w="1232" w:type="dxa"/>
            <w:textDirection w:val="tbRlV"/>
          </w:tcPr>
          <w:p/>
          <w:p>
            <w:pPr>
              <w:spacing w:before="106"/>
              <w:ind w:left="10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社 会 效 果</w:t>
            </w:r>
          </w:p>
        </w:tc>
        <w:tc>
          <w:tcPr>
            <w:tcW w:w="8805" w:type="dxa"/>
            <w:gridSpan w:val="7"/>
          </w:tcPr>
          <w:p>
            <w:pPr>
              <w:spacing w:before="1"/>
              <w:ind w:left="117" w:right="145" w:firstLine="421"/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</w:pPr>
          </w:p>
          <w:p>
            <w:pPr>
              <w:spacing w:before="1"/>
              <w:ind w:left="117" w:right="145" w:firstLine="4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将知名北宋风俗画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清明上河图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》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通过拆解画面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重新组合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补充动画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加入新素材等方式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重制为一组富含数字中国建设信息量的SVG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SMIL动画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并配合简约明了的SVG点击事件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让用户与画面友好交互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作品展现了数字中国建设成果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聚焦中国数字生活方方面面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细节丰富生动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沉浸式体验效果佳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一推出便被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福建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网信办全网推荐，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学习强国平台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人民日报客户端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澎湃新闻客户端等媒体机构转载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省内外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共四百多家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媒体纷纷转发</w:t>
            </w:r>
            <w:r>
              <w:rPr>
                <w:rFonts w:ascii="宋体" w:hAnsi="宋体" w:eastAsia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累计阅读量（含视频点击量）超过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75万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引发热议及好评</w:t>
            </w:r>
            <w:r>
              <w:rPr>
                <w:rFonts w:ascii="宋体" w:hAnsi="宋体" w:eastAsia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网友们表示：“这个</w:t>
            </w:r>
            <w:r>
              <w:rPr>
                <w:rFonts w:ascii="宋体" w:hAnsi="宋体" w:eastAsia="宋体" w:cs="宋体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清明上河图</w:t>
            </w:r>
            <w:r>
              <w:rPr>
                <w:rFonts w:ascii="宋体" w:hAnsi="宋体" w:eastAsia="宋体" w:cs="宋体"/>
                <w:sz w:val="28"/>
                <w:szCs w:val="28"/>
              </w:rPr>
              <w:t>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好看、好玩！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是身边数字化生活的真实写照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2" w:hRule="atLeast"/>
        </w:trPr>
        <w:tc>
          <w:tcPr>
            <w:tcW w:w="1232" w:type="dxa"/>
          </w:tcPr>
          <w:p>
            <w:pPr>
              <w:spacing w:before="263"/>
              <w:ind w:left="5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4"/>
              <w:ind w:left="282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5"/>
                <w:sz w:val="27"/>
                <w:szCs w:val="27"/>
              </w:rPr>
              <w:t>初推</w:t>
            </w:r>
          </w:p>
          <w:p>
            <w:pPr>
              <w:ind w:left="275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9"/>
                <w:sz w:val="27"/>
                <w:szCs w:val="27"/>
              </w:rPr>
              <w:t>评</w:t>
            </w:r>
            <w:r>
              <w:rPr>
                <w:rFonts w:ascii="华文中宋" w:hAnsi="华文中宋" w:eastAsia="华文中宋" w:cs="华文中宋"/>
                <w:spacing w:val="8"/>
                <w:sz w:val="27"/>
                <w:szCs w:val="27"/>
              </w:rPr>
              <w:t>荐</w:t>
            </w:r>
          </w:p>
          <w:p>
            <w:pPr>
              <w:spacing w:before="43"/>
              <w:ind w:left="275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9"/>
                <w:sz w:val="27"/>
                <w:szCs w:val="27"/>
              </w:rPr>
              <w:t>评</w:t>
            </w:r>
            <w:r>
              <w:rPr>
                <w:rFonts w:ascii="华文中宋" w:hAnsi="华文中宋" w:eastAsia="华文中宋" w:cs="华文中宋"/>
                <w:spacing w:val="8"/>
                <w:sz w:val="27"/>
                <w:szCs w:val="27"/>
              </w:rPr>
              <w:t>理</w:t>
            </w:r>
          </w:p>
          <w:p>
            <w:pPr>
              <w:spacing w:before="40"/>
              <w:ind w:left="275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9"/>
                <w:sz w:val="27"/>
                <w:szCs w:val="27"/>
              </w:rPr>
              <w:t>语</w:t>
            </w:r>
            <w:r>
              <w:rPr>
                <w:rFonts w:ascii="华文中宋" w:hAnsi="华文中宋" w:eastAsia="华文中宋" w:cs="华文中宋"/>
                <w:spacing w:val="8"/>
                <w:sz w:val="27"/>
                <w:szCs w:val="27"/>
              </w:rPr>
              <w:t>由</w:t>
            </w:r>
          </w:p>
          <w:p>
            <w:pPr>
              <w:spacing w:before="37"/>
              <w:ind w:left="539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position w:val="-9"/>
                <w:sz w:val="27"/>
                <w:szCs w:val="27"/>
              </w:rPr>
              <w:t>︶</w:t>
            </w:r>
          </w:p>
        </w:tc>
        <w:tc>
          <w:tcPr>
            <w:tcW w:w="8805" w:type="dxa"/>
            <w:gridSpan w:val="7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成就宣传，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Hans"/>
              </w:rPr>
              <w:t>创新表达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该作品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展现数字中国的建设成果，聚焦中国数字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化智慧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生活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方方面面，却不走寻常路，以古代今，以画入世，极具网感。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新潮好玩，妙趣横生。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互动图文+动画短视频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互相补充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形式巧妙，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页面设计贴近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民生，细节丰富生动，沉浸式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互动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体验效果佳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动画短视频更是加入贴切的音乐音效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引人入胜。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Hans"/>
              </w:rPr>
              <w:t>设计精巧，制作精良。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作品古风盎然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将画中人物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场景重组拼贴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除了“数娃”外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马车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人物等等都利用动画技术“活”起来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与现代数字化生活元素水乳交融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毫不违和。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</w:p>
          <w:p>
            <w:pPr>
              <w:spacing w:before="78"/>
              <w:ind w:left="192" w:right="157" w:firstLine="30"/>
              <w:jc w:val="center"/>
              <w:rPr>
                <w:rFonts w:ascii="华文中宋" w:hAnsi="华文中宋" w:eastAsia="华文中宋" w:cs="华文中宋"/>
                <w:spacing w:val="8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8"/>
                <w:sz w:val="28"/>
                <w:szCs w:val="28"/>
              </w:rPr>
              <w:t>签名：</w:t>
            </w:r>
          </w:p>
          <w:p>
            <w:pPr>
              <w:spacing w:before="78"/>
              <w:ind w:left="192" w:right="157" w:firstLine="30"/>
              <w:jc w:val="center"/>
              <w:rPr>
                <w:rFonts w:ascii="华文中宋" w:hAnsi="华文中宋" w:eastAsia="华文中宋" w:cs="华文中宋"/>
                <w:spacing w:val="8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8"/>
                <w:sz w:val="28"/>
                <w:szCs w:val="28"/>
              </w:rPr>
              <w:t xml:space="preserve">                        (盖单位公章)</w:t>
            </w:r>
          </w:p>
          <w:p>
            <w:pPr>
              <w:spacing w:before="78"/>
              <w:ind w:left="192" w:right="157" w:firstLine="3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8"/>
                <w:sz w:val="28"/>
                <w:szCs w:val="28"/>
              </w:rPr>
              <w:t xml:space="preserve">                            2022 年 5 月 31 日</w:t>
            </w:r>
          </w:p>
        </w:tc>
      </w:tr>
    </w:tbl>
    <w:p>
      <w:pPr>
        <w:spacing w:before="63" w:line="216" w:lineRule="auto"/>
        <w:jc w:val="both"/>
        <w:rPr>
          <w:rFonts w:ascii="楷体" w:hAnsi="楷体" w:eastAsia="楷体" w:cs="楷体"/>
          <w:sz w:val="28"/>
          <w:szCs w:val="28"/>
        </w:rPr>
      </w:pPr>
    </w:p>
    <w:sectPr>
      <w:footerReference r:id="rId3" w:type="default"/>
      <w:pgSz w:w="11907" w:h="16839"/>
      <w:pgMar w:top="1431" w:right="1013" w:bottom="1733" w:left="1135" w:header="0" w:footer="146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right="175"/>
      <w:jc w:val="right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mU2Y2I4YjE2Zjc3OGRmYmU5MjJmNTRjOGNiMDAwYzgifQ=="/>
  </w:docVars>
  <w:rsids>
    <w:rsidRoot w:val="0076488B"/>
    <w:rsid w:val="0076488B"/>
    <w:rsid w:val="007B265C"/>
    <w:rsid w:val="00D0027A"/>
    <w:rsid w:val="00E6284A"/>
    <w:rsid w:val="02FE0DCC"/>
    <w:rsid w:val="03BA1762"/>
    <w:rsid w:val="061A5470"/>
    <w:rsid w:val="0639341C"/>
    <w:rsid w:val="0819123D"/>
    <w:rsid w:val="0D3A63F7"/>
    <w:rsid w:val="0D430430"/>
    <w:rsid w:val="107722A0"/>
    <w:rsid w:val="12A367ED"/>
    <w:rsid w:val="13223BB5"/>
    <w:rsid w:val="185A5BA0"/>
    <w:rsid w:val="19410B0E"/>
    <w:rsid w:val="1BFBD18F"/>
    <w:rsid w:val="1EC55310"/>
    <w:rsid w:val="21C608B7"/>
    <w:rsid w:val="23A61C99"/>
    <w:rsid w:val="24431BDE"/>
    <w:rsid w:val="25F607BC"/>
    <w:rsid w:val="26434AB8"/>
    <w:rsid w:val="264A7253"/>
    <w:rsid w:val="269E4CE8"/>
    <w:rsid w:val="275E288B"/>
    <w:rsid w:val="28795BCE"/>
    <w:rsid w:val="29C56BF1"/>
    <w:rsid w:val="2C8D7E9A"/>
    <w:rsid w:val="2CC3566A"/>
    <w:rsid w:val="2DC31151"/>
    <w:rsid w:val="2EFA1940"/>
    <w:rsid w:val="31776780"/>
    <w:rsid w:val="35FC0CE8"/>
    <w:rsid w:val="36D36DF1"/>
    <w:rsid w:val="39E76423"/>
    <w:rsid w:val="3CF3EDEF"/>
    <w:rsid w:val="3F730637"/>
    <w:rsid w:val="3FFFD7C2"/>
    <w:rsid w:val="402778EB"/>
    <w:rsid w:val="40920D76"/>
    <w:rsid w:val="416F5968"/>
    <w:rsid w:val="41D57EC1"/>
    <w:rsid w:val="45D16BF2"/>
    <w:rsid w:val="47E726FC"/>
    <w:rsid w:val="490177EE"/>
    <w:rsid w:val="493A685C"/>
    <w:rsid w:val="4A14779C"/>
    <w:rsid w:val="4D0578E1"/>
    <w:rsid w:val="52ADC3AF"/>
    <w:rsid w:val="565F0D92"/>
    <w:rsid w:val="57C739B1"/>
    <w:rsid w:val="5AB6135D"/>
    <w:rsid w:val="5F2B6F1B"/>
    <w:rsid w:val="5F7FD24B"/>
    <w:rsid w:val="63D71056"/>
    <w:rsid w:val="669C661B"/>
    <w:rsid w:val="692A1BA2"/>
    <w:rsid w:val="69A2427D"/>
    <w:rsid w:val="6A7F836D"/>
    <w:rsid w:val="6AB73ED2"/>
    <w:rsid w:val="6AC975E8"/>
    <w:rsid w:val="6BC56BD9"/>
    <w:rsid w:val="6DBE53FE"/>
    <w:rsid w:val="6FFEE34A"/>
    <w:rsid w:val="74BB2697"/>
    <w:rsid w:val="75461F61"/>
    <w:rsid w:val="77737259"/>
    <w:rsid w:val="784309DA"/>
    <w:rsid w:val="788D434B"/>
    <w:rsid w:val="7A431165"/>
    <w:rsid w:val="7B5F4759"/>
    <w:rsid w:val="7BF3652F"/>
    <w:rsid w:val="7BF69BA0"/>
    <w:rsid w:val="7C33101A"/>
    <w:rsid w:val="7D531B1A"/>
    <w:rsid w:val="7DF10ED8"/>
    <w:rsid w:val="7E7FE0D6"/>
    <w:rsid w:val="7F7441D2"/>
    <w:rsid w:val="7FBF45F2"/>
    <w:rsid w:val="7FFF90FA"/>
    <w:rsid w:val="B68EC0D4"/>
    <w:rsid w:val="DF550C60"/>
    <w:rsid w:val="E5F3DDE5"/>
    <w:rsid w:val="F7EFFD9D"/>
    <w:rsid w:val="F9EFB1BD"/>
    <w:rsid w:val="F9F71CA5"/>
    <w:rsid w:val="FDF83C41"/>
    <w:rsid w:val="FDFD861C"/>
    <w:rsid w:val="FDFE8AA6"/>
    <w:rsid w:val="FE5FFD96"/>
    <w:rsid w:val="FF5F2F88"/>
    <w:rsid w:val="FFFFE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NormalCharacter"/>
    <w:qFormat/>
    <w:uiPriority w:val="99"/>
  </w:style>
  <w:style w:type="character" w:customStyle="1" w:styleId="10">
    <w:name w:val="页脚 字符"/>
    <w:basedOn w:val="5"/>
    <w:link w:val="2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1308</Characters>
  <Lines>10</Lines>
  <Paragraphs>3</Paragraphs>
  <TotalTime>9</TotalTime>
  <ScaleCrop>false</ScaleCrop>
  <LinksUpToDate>false</LinksUpToDate>
  <CharactersWithSpaces>1534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2022-04-24T01:03:00Z</dcterms:created>
  <dc:creator>中国记协台港澳部</dc:creator>
  <cp:lastModifiedBy>小菊子</cp:lastModifiedBy>
  <cp:lastPrinted>2022-06-02T08:25:58Z</cp:lastPrinted>
  <dcterms:modified xsi:type="dcterms:W3CDTF">2022-06-02T08:26:02Z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2022-05-31T09:03:20Z</vt:filetime>
  </property>
  <property fmtid="{D5CDD505-2E9C-101B-9397-08002B2CF9AE}" pid="4" name="KSOProductBuildVer">
    <vt:lpwstr>2052-11.1.0.11411</vt:lpwstr>
  </property>
  <property fmtid="{D5CDD505-2E9C-101B-9397-08002B2CF9AE}" pid="5" name="ICV">
    <vt:lpwstr>9C1BC29EF1654656869BFD807EC34912</vt:lpwstr>
  </property>
</Properties>
</file>