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ascii="楷体" w:hAnsi="楷体" w:eastAsia="楷体"/>
          <w:b/>
          <w:sz w:val="28"/>
          <w:szCs w:val="28"/>
        </w:rPr>
      </w:pPr>
      <w:r>
        <w:rPr>
          <w:rFonts w:hint="eastAsia" w:ascii="楷体" w:hAnsi="楷体" w:eastAsia="楷体"/>
          <w:b/>
          <w:sz w:val="28"/>
          <w:szCs w:val="28"/>
        </w:rPr>
        <w:t>附件3</w:t>
      </w:r>
    </w:p>
    <w:p>
      <w:pPr>
        <w:widowControl w:val="0"/>
        <w:spacing w:line="560" w:lineRule="exact"/>
        <w:jc w:val="center"/>
        <w:rPr>
          <w:rFonts w:ascii="华文中宋" w:hAnsi="华文中宋" w:eastAsia="华文中宋"/>
          <w:sz w:val="36"/>
          <w:szCs w:val="36"/>
        </w:rPr>
      </w:pPr>
      <w:r>
        <w:rPr>
          <w:rFonts w:hint="eastAsia" w:ascii="华文中宋" w:hAnsi="华文中宋" w:eastAsia="华文中宋"/>
          <w:sz w:val="36"/>
          <w:szCs w:val="36"/>
        </w:rPr>
        <w:t>中国新闻奖副刊作品参评推荐表</w:t>
      </w:r>
    </w:p>
    <w:tbl>
      <w:tblPr>
        <w:tblStyle w:val="4"/>
        <w:tblW w:w="9260" w:type="dxa"/>
        <w:jc w:val="center"/>
        <w:tblLayout w:type="fixed"/>
        <w:tblCellMar>
          <w:top w:w="0" w:type="dxa"/>
          <w:left w:w="108" w:type="dxa"/>
          <w:bottom w:w="0" w:type="dxa"/>
          <w:right w:w="108" w:type="dxa"/>
        </w:tblCellMar>
      </w:tblPr>
      <w:tblGrid>
        <w:gridCol w:w="1158"/>
        <w:gridCol w:w="179"/>
        <w:gridCol w:w="718"/>
        <w:gridCol w:w="497"/>
        <w:gridCol w:w="748"/>
        <w:gridCol w:w="832"/>
        <w:gridCol w:w="239"/>
        <w:gridCol w:w="519"/>
        <w:gridCol w:w="854"/>
        <w:gridCol w:w="368"/>
        <w:gridCol w:w="244"/>
        <w:gridCol w:w="732"/>
        <w:gridCol w:w="317"/>
        <w:gridCol w:w="1855"/>
      </w:tblGrid>
      <w:tr>
        <w:tblPrEx>
          <w:tblCellMar>
            <w:top w:w="0" w:type="dxa"/>
            <w:left w:w="108" w:type="dxa"/>
            <w:bottom w:w="0" w:type="dxa"/>
            <w:right w:w="108" w:type="dxa"/>
          </w:tblCellMar>
        </w:tblPrEx>
        <w:trPr>
          <w:wBefore w:w="0" w:type="auto"/>
          <w:wAfter w:w="0" w:type="auto"/>
          <w:trHeight w:val="575" w:hRule="atLeast"/>
          <w:jc w:val="center"/>
        </w:trPr>
        <w:tc>
          <w:tcPr>
            <w:tcW w:w="2055"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8"/>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黑体" w:hAnsi="黑体" w:eastAsia="黑体" w:cs="仿宋"/>
                <w:sz w:val="28"/>
                <w:szCs w:val="28"/>
                <w:lang w:val="zh-CN"/>
              </w:rPr>
            </w:pPr>
            <w:r>
              <w:rPr>
                <w:rFonts w:hint="eastAsia" w:ascii="黑体" w:hAnsi="黑体" w:eastAsia="黑体" w:cs="仿宋"/>
                <w:sz w:val="28"/>
                <w:szCs w:val="28"/>
                <w:lang w:val="zh-CN"/>
              </w:rPr>
              <w:t>“英雄马”的离去与归来</w:t>
            </w:r>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5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黑体" w:hAnsi="黑体" w:eastAsia="黑体" w:cs="仿宋"/>
                <w:sz w:val="28"/>
                <w:szCs w:val="28"/>
                <w:lang w:val="zh-CN"/>
              </w:rPr>
            </w:pPr>
            <w:r>
              <w:rPr>
                <w:rFonts w:hint="eastAsia" w:ascii="黑体" w:hAnsi="黑体" w:eastAsia="黑体" w:cs="仿宋"/>
                <w:sz w:val="28"/>
                <w:szCs w:val="28"/>
                <w:lang w:val="zh-CN"/>
              </w:rPr>
              <w:t>报告文学</w:t>
            </w:r>
          </w:p>
        </w:tc>
      </w:tr>
      <w:tr>
        <w:tblPrEx>
          <w:tblCellMar>
            <w:top w:w="0" w:type="dxa"/>
            <w:left w:w="108" w:type="dxa"/>
            <w:bottom w:w="0" w:type="dxa"/>
            <w:right w:w="108" w:type="dxa"/>
          </w:tblCellMar>
        </w:tblPrEx>
        <w:trPr>
          <w:wBefore w:w="0" w:type="auto"/>
          <w:wAfter w:w="0" w:type="auto"/>
          <w:trHeight w:val="573" w:hRule="atLeast"/>
          <w:jc w:val="center"/>
        </w:trPr>
        <w:tc>
          <w:tcPr>
            <w:tcW w:w="2055"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8"/>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5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黑体" w:hAnsi="黑体" w:eastAsia="黑体" w:cs="仿宋"/>
                <w:sz w:val="28"/>
                <w:szCs w:val="28"/>
                <w:lang w:val="zh-CN"/>
              </w:rPr>
            </w:pPr>
            <w:r>
              <w:rPr>
                <w:rFonts w:hint="eastAsia" w:ascii="黑体" w:hAnsi="黑体" w:eastAsia="黑体" w:cs="仿宋"/>
                <w:sz w:val="28"/>
                <w:szCs w:val="28"/>
                <w:lang w:val="zh-CN"/>
              </w:rPr>
              <w:t>5483</w:t>
            </w:r>
          </w:p>
        </w:tc>
      </w:tr>
      <w:tr>
        <w:tblPrEx>
          <w:tblCellMar>
            <w:top w:w="0" w:type="dxa"/>
            <w:left w:w="108" w:type="dxa"/>
            <w:bottom w:w="0" w:type="dxa"/>
            <w:right w:w="108" w:type="dxa"/>
          </w:tblCellMar>
        </w:tblPrEx>
        <w:trPr>
          <w:wBefore w:w="0" w:type="auto"/>
          <w:wAfter w:w="0" w:type="auto"/>
          <w:trHeight w:val="567" w:hRule="exact"/>
          <w:jc w:val="center"/>
        </w:trPr>
        <w:tc>
          <w:tcPr>
            <w:tcW w:w="2055"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ind w:firstLine="560" w:firstLineChars="200"/>
              <w:rPr>
                <w:rFonts w:ascii="黑体" w:hAnsi="黑体" w:eastAsia="黑体"/>
                <w:sz w:val="28"/>
                <w:szCs w:val="28"/>
              </w:rPr>
            </w:pPr>
            <w:r>
              <w:rPr>
                <w:rFonts w:hint="eastAsia" w:ascii="黑体" w:hAnsi="黑体" w:eastAsia="黑体"/>
                <w:sz w:val="28"/>
                <w:szCs w:val="28"/>
              </w:rPr>
              <w:t>王常婷 董瑞婷</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904" w:type="dxa"/>
            <w:gridSpan w:val="3"/>
            <w:tcBorders>
              <w:top w:val="single" w:color="auto" w:sz="6" w:space="0"/>
              <w:left w:val="single" w:color="auto" w:sz="6" w:space="0"/>
              <w:bottom w:val="single" w:color="auto" w:sz="6" w:space="0"/>
              <w:right w:val="single" w:color="auto" w:sz="6" w:space="0"/>
            </w:tcBorders>
            <w:vAlign w:val="center"/>
          </w:tcPr>
          <w:p>
            <w:pPr>
              <w:widowControl w:val="0"/>
              <w:rPr>
                <w:rFonts w:ascii="黑体" w:hAnsi="黑体" w:eastAsia="黑体"/>
                <w:szCs w:val="21"/>
              </w:rPr>
            </w:pPr>
            <w:r>
              <w:rPr>
                <w:rFonts w:hint="eastAsia" w:ascii="黑体" w:hAnsi="黑体" w:eastAsia="黑体"/>
                <w:sz w:val="24"/>
                <w:szCs w:val="24"/>
              </w:rPr>
              <w:t>吴美章 李剑锋 张惠阳</w:t>
            </w:r>
          </w:p>
        </w:tc>
      </w:tr>
      <w:tr>
        <w:tblPrEx>
          <w:tblCellMar>
            <w:top w:w="0" w:type="dxa"/>
            <w:left w:w="108" w:type="dxa"/>
            <w:bottom w:w="0" w:type="dxa"/>
            <w:right w:w="108" w:type="dxa"/>
          </w:tblCellMar>
        </w:tblPrEx>
        <w:trPr>
          <w:wBefore w:w="0" w:type="auto"/>
          <w:wAfter w:w="0" w:type="auto"/>
          <w:trHeight w:val="567" w:hRule="exact"/>
          <w:jc w:val="center"/>
        </w:trPr>
        <w:tc>
          <w:tcPr>
            <w:tcW w:w="2055"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ind w:firstLine="560" w:firstLineChars="200"/>
              <w:rPr>
                <w:rFonts w:ascii="黑体" w:hAnsi="黑体" w:eastAsia="黑体"/>
                <w:sz w:val="28"/>
                <w:szCs w:val="28"/>
              </w:rPr>
            </w:pPr>
            <w:r>
              <w:rPr>
                <w:rFonts w:hint="eastAsia" w:ascii="黑体" w:hAnsi="黑体" w:eastAsia="黑体"/>
                <w:sz w:val="28"/>
                <w:szCs w:val="28"/>
              </w:rPr>
              <w:t>晋江经济报社</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904"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黑体" w:hAnsi="黑体" w:eastAsia="黑体" w:cs="仿宋"/>
                <w:sz w:val="28"/>
                <w:szCs w:val="28"/>
                <w:lang w:val="zh-CN"/>
              </w:rPr>
            </w:pPr>
            <w:r>
              <w:rPr>
                <w:rFonts w:hint="eastAsia" w:ascii="黑体" w:hAnsi="黑体" w:eastAsia="黑体" w:cs="仿宋"/>
                <w:sz w:val="28"/>
                <w:szCs w:val="28"/>
                <w:lang w:val="zh-CN"/>
              </w:rPr>
              <w:t>晋江经济报社</w:t>
            </w:r>
          </w:p>
        </w:tc>
      </w:tr>
      <w:tr>
        <w:tblPrEx>
          <w:tblCellMar>
            <w:top w:w="0" w:type="dxa"/>
            <w:left w:w="108" w:type="dxa"/>
            <w:bottom w:w="0" w:type="dxa"/>
            <w:right w:w="108" w:type="dxa"/>
          </w:tblCellMar>
        </w:tblPrEx>
        <w:trPr>
          <w:wBefore w:w="0" w:type="auto"/>
          <w:wAfter w:w="0" w:type="auto"/>
          <w:trHeight w:val="850" w:hRule="atLeast"/>
          <w:jc w:val="center"/>
        </w:trPr>
        <w:tc>
          <w:tcPr>
            <w:tcW w:w="2055" w:type="dxa"/>
            <w:gridSpan w:val="3"/>
            <w:tcBorders>
              <w:top w:val="single" w:color="auto" w:sz="6" w:space="0"/>
              <w:left w:val="single" w:color="auto" w:sz="6" w:space="0"/>
              <w:bottom w:val="single" w:color="auto" w:sz="6" w:space="0"/>
              <w:right w:val="single" w:color="auto" w:sz="4"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adjustRightInd w:val="0"/>
              <w:spacing w:line="400" w:lineRule="exact"/>
              <w:jc w:val="center"/>
              <w:rPr>
                <w:rFonts w:ascii="黑体" w:hAnsi="黑体" w:eastAsia="黑体" w:cs="仿宋"/>
                <w:sz w:val="28"/>
                <w:szCs w:val="28"/>
                <w:lang w:val="zh-CN"/>
              </w:rPr>
            </w:pPr>
            <w:r>
              <w:rPr>
                <w:rFonts w:hint="eastAsia" w:ascii="黑体" w:hAnsi="黑体" w:eastAsia="黑体" w:cs="仿宋"/>
                <w:sz w:val="28"/>
                <w:szCs w:val="28"/>
                <w:lang w:val="zh-CN"/>
              </w:rPr>
              <w:t>五里桥 第3版</w:t>
            </w:r>
          </w:p>
        </w:tc>
        <w:tc>
          <w:tcPr>
            <w:tcW w:w="1466"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904"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黑体" w:hAnsi="黑体" w:eastAsia="黑体" w:cs="仿宋"/>
                <w:sz w:val="28"/>
                <w:szCs w:val="28"/>
                <w:lang w:val="zh-CN"/>
              </w:rPr>
            </w:pPr>
            <w:r>
              <w:rPr>
                <w:rFonts w:ascii="黑体" w:hAnsi="黑体" w:eastAsia="黑体" w:cs="仿宋"/>
                <w:sz w:val="28"/>
                <w:szCs w:val="28"/>
                <w:lang w:val="zh-CN"/>
              </w:rPr>
              <w:t>2</w:t>
            </w:r>
            <w:r>
              <w:rPr>
                <w:rFonts w:hint="eastAsia" w:ascii="黑体" w:hAnsi="黑体" w:eastAsia="黑体" w:cs="仿宋"/>
                <w:sz w:val="28"/>
                <w:szCs w:val="28"/>
                <w:lang w:val="zh-CN"/>
              </w:rPr>
              <w:t>021年12月19日</w:t>
            </w:r>
          </w:p>
        </w:tc>
      </w:tr>
      <w:tr>
        <w:tblPrEx>
          <w:tblCellMar>
            <w:top w:w="0" w:type="dxa"/>
            <w:left w:w="108" w:type="dxa"/>
            <w:bottom w:w="0" w:type="dxa"/>
            <w:right w:w="108" w:type="dxa"/>
          </w:tblCellMar>
        </w:tblPrEx>
        <w:trPr>
          <w:wBefore w:w="0" w:type="auto"/>
          <w:wAfter w:w="0" w:type="auto"/>
          <w:trHeight w:val="2089" w:hRule="exact"/>
          <w:jc w:val="center"/>
        </w:trPr>
        <w:tc>
          <w:tcPr>
            <w:tcW w:w="1158" w:type="dxa"/>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采作</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编品</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过简</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程介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02" w:type="dxa"/>
            <w:gridSpan w:val="13"/>
            <w:tcBorders>
              <w:top w:val="single" w:color="auto" w:sz="6" w:space="0"/>
              <w:left w:val="single" w:color="auto" w:sz="6" w:space="0"/>
              <w:bottom w:val="single" w:color="auto" w:sz="6" w:space="0"/>
              <w:right w:val="single" w:color="auto" w:sz="6" w:space="0"/>
            </w:tcBorders>
          </w:tcPr>
          <w:p>
            <w:pPr>
              <w:widowControl w:val="0"/>
              <w:ind w:firstLine="480" w:firstLineChars="200"/>
              <w:rPr>
                <w:rFonts w:ascii="仿宋" w:hAnsi="仿宋" w:eastAsia="仿宋"/>
                <w:w w:val="95"/>
                <w:szCs w:val="21"/>
              </w:rPr>
            </w:pPr>
            <w:r>
              <w:rPr>
                <w:rFonts w:hint="eastAsia" w:ascii="仿宋" w:hAnsi="仿宋" w:eastAsia="仿宋"/>
                <w:sz w:val="24"/>
                <w:szCs w:val="24"/>
              </w:rPr>
              <w:t>“英雄马”为救溺水少年而献身，晋江经济报发动社会各界募捐，在马儿救人的地方树立“英雄马”雕像。本文详实地记叙了“英雄马”因救人离去、并以雕像的形式归来的感人故事，生动地阐述了人与马、爱与永恒的关系，鲜明地提出，为“英雄马”立像，是对见义勇为精神的学习、继承和发展，是社会主义核心价值观的落实，也彰显了晋江这座全国文明城市所迸发出的光辉与力量。</w:t>
            </w:r>
          </w:p>
        </w:tc>
      </w:tr>
      <w:tr>
        <w:tblPrEx>
          <w:tblCellMar>
            <w:top w:w="0" w:type="dxa"/>
            <w:left w:w="108" w:type="dxa"/>
            <w:bottom w:w="0" w:type="dxa"/>
            <w:right w:w="108" w:type="dxa"/>
          </w:tblCellMar>
        </w:tblPrEx>
        <w:trPr>
          <w:wBefore w:w="0" w:type="auto"/>
          <w:wAfter w:w="0" w:type="auto"/>
          <w:trHeight w:val="2119" w:hRule="exact"/>
          <w:jc w:val="center"/>
        </w:trPr>
        <w:tc>
          <w:tcPr>
            <w:tcW w:w="1158"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02"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ind w:firstLine="480" w:firstLineChars="200"/>
              <w:rPr>
                <w:rFonts w:ascii="仿宋" w:hAnsi="仿宋" w:eastAsia="仿宋"/>
                <w:szCs w:val="21"/>
              </w:rPr>
            </w:pPr>
            <w:r>
              <w:rPr>
                <w:rFonts w:hint="eastAsia" w:ascii="仿宋" w:hAnsi="仿宋" w:eastAsia="仿宋"/>
                <w:sz w:val="24"/>
                <w:szCs w:val="24"/>
              </w:rPr>
              <w:t>文章发表后，在社会上产生了很大影响，一些有影响的新媒体进行了转发。不少读者向本报来电，表示文章写的</w:t>
            </w:r>
            <w:bookmarkStart w:id="0" w:name="_GoBack"/>
            <w:bookmarkEnd w:id="0"/>
            <w:r>
              <w:rPr>
                <w:rFonts w:hint="eastAsia" w:ascii="仿宋" w:hAnsi="仿宋" w:eastAsia="仿宋"/>
                <w:sz w:val="24"/>
                <w:szCs w:val="24"/>
              </w:rPr>
              <w:t>很生动感人，凝聚正能量，唱响正气歌。本文的发表，让“英雄马”雕像及其事迹广为人知，雕像成为祖国东南海岸线上一处独特的人文景观，海峡两岸的人们纷纷前来拜谒，感受“英雄马”所带来的浩然正气。</w:t>
            </w:r>
          </w:p>
        </w:tc>
      </w:tr>
      <w:tr>
        <w:tblPrEx>
          <w:tblCellMar>
            <w:top w:w="0" w:type="dxa"/>
            <w:left w:w="108" w:type="dxa"/>
            <w:bottom w:w="0" w:type="dxa"/>
            <w:right w:w="108" w:type="dxa"/>
          </w:tblCellMar>
        </w:tblPrEx>
        <w:trPr>
          <w:wBefore w:w="0" w:type="auto"/>
          <w:wAfter w:w="0" w:type="auto"/>
          <w:trHeight w:val="2374" w:hRule="atLeast"/>
          <w:jc w:val="center"/>
        </w:trPr>
        <w:tc>
          <w:tcPr>
            <w:tcW w:w="1158"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02"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spacing w:line="360" w:lineRule="exact"/>
              <w:ind w:firstLine="480" w:firstLineChars="200"/>
              <w:jc w:val="both"/>
              <w:rPr>
                <w:rFonts w:hint="eastAsia" w:ascii="仿宋" w:hAnsi="仿宋" w:eastAsia="仿宋"/>
                <w:sz w:val="24"/>
                <w:szCs w:val="24"/>
              </w:rPr>
            </w:pPr>
            <w:r>
              <w:rPr>
                <w:rFonts w:hint="eastAsia" w:ascii="仿宋" w:hAnsi="仿宋" w:eastAsia="仿宋"/>
                <w:sz w:val="24"/>
                <w:szCs w:val="24"/>
              </w:rPr>
              <w:t>本文由历史引申出现实，由马推及到人，由个体延伸到整座城市，层层推进，主题鲜明，视野开阔，角度独特，文字细腻真挚，让人看后产生了共鸣，具有很强的可读性和现实教育意义。</w:t>
            </w:r>
          </w:p>
          <w:p>
            <w:pPr>
              <w:widowControl w:val="0"/>
              <w:spacing w:line="240" w:lineRule="auto"/>
              <w:ind w:firstLine="4140" w:firstLineChars="1500"/>
              <w:jc w:val="both"/>
              <w:rPr>
                <w:rFonts w:hint="eastAsia" w:ascii="华文中宋" w:hAnsi="华文中宋" w:eastAsia="华文中宋"/>
                <w:spacing w:val="-2"/>
                <w:sz w:val="28"/>
                <w:szCs w:val="20"/>
                <w:lang w:eastAsia="zh-CN"/>
              </w:rPr>
            </w:pPr>
            <w:r>
              <w:rPr>
                <w:rFonts w:hint="eastAsia" w:ascii="华文中宋" w:hAnsi="华文中宋" w:eastAsia="华文中宋"/>
                <w:spacing w:val="-2"/>
                <w:sz w:val="28"/>
              </w:rPr>
              <w:t>签名：</w:t>
            </w:r>
            <w:r>
              <w:rPr>
                <w:rFonts w:hint="eastAsia" w:ascii="华文中宋" w:hAnsi="华文中宋" w:eastAsia="华文中宋"/>
                <w:spacing w:val="-2"/>
                <w:sz w:val="28"/>
                <w:szCs w:val="20"/>
                <w:lang w:eastAsia="zh-CN"/>
              </w:rPr>
              <w:drawing>
                <wp:inline distT="0" distB="0" distL="114300" distR="114300">
                  <wp:extent cx="1348740" cy="675640"/>
                  <wp:effectExtent l="0" t="0" r="3810" b="10160"/>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348740" cy="675640"/>
                          </a:xfrm>
                          <a:prstGeom prst="rect">
                            <a:avLst/>
                          </a:prstGeom>
                        </pic:spPr>
                      </pic:pic>
                    </a:graphicData>
                  </a:graphic>
                </wp:inline>
              </w:drawing>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80" w:hRule="exact"/>
          <w:jc w:val="center"/>
        </w:trPr>
        <w:tc>
          <w:tcPr>
            <w:tcW w:w="1337"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196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ascii="黑体" w:hAnsi="黑体" w:eastAsia="黑体"/>
                <w:color w:val="000000"/>
                <w:sz w:val="28"/>
                <w:szCs w:val="28"/>
              </w:rPr>
            </w:pPr>
            <w:r>
              <w:rPr>
                <w:rFonts w:hint="eastAsia" w:ascii="黑体" w:hAnsi="黑体" w:eastAsia="黑体"/>
                <w:color w:val="000000"/>
                <w:sz w:val="28"/>
                <w:szCs w:val="28"/>
              </w:rPr>
              <w:t>张惠阳</w:t>
            </w: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980"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olor w:val="000000"/>
                <w:sz w:val="28"/>
                <w:szCs w:val="28"/>
              </w:rPr>
            </w:pPr>
            <w:r>
              <w:rPr>
                <w:rFonts w:hint="eastAsia" w:ascii="黑体" w:hAnsi="黑体" w:eastAsia="黑体"/>
                <w:color w:val="000000"/>
                <w:sz w:val="28"/>
                <w:szCs w:val="28"/>
              </w:rPr>
              <w:t>059582009722</w:t>
            </w:r>
          </w:p>
        </w:tc>
        <w:tc>
          <w:tcPr>
            <w:tcW w:w="9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7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olor w:val="000000"/>
                <w:sz w:val="28"/>
                <w:szCs w:val="28"/>
              </w:rPr>
            </w:pPr>
            <w:r>
              <w:rPr>
                <w:rFonts w:hint="eastAsia" w:ascii="黑体" w:hAnsi="黑体" w:eastAsia="黑体"/>
                <w:color w:val="000000"/>
                <w:sz w:val="28"/>
                <w:szCs w:val="28"/>
              </w:rPr>
              <w:t>13004886898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exact"/>
          <w:jc w:val="center"/>
        </w:trPr>
        <w:tc>
          <w:tcPr>
            <w:tcW w:w="133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olor w:val="000000"/>
                <w:sz w:val="28"/>
                <w:szCs w:val="28"/>
              </w:rPr>
            </w:pPr>
            <w:r>
              <w:rPr>
                <w:rFonts w:hint="eastAsia" w:ascii="黑体" w:hAnsi="黑体" w:eastAsia="黑体"/>
                <w:color w:val="000000"/>
                <w:sz w:val="28"/>
                <w:szCs w:val="28"/>
              </w:rPr>
              <w:t>443552882@qq.com</w:t>
            </w:r>
          </w:p>
        </w:tc>
        <w:tc>
          <w:tcPr>
            <w:tcW w:w="9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7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olor w:val="000000"/>
                <w:sz w:val="28"/>
                <w:szCs w:val="28"/>
              </w:rPr>
            </w:pPr>
            <w:r>
              <w:rPr>
                <w:rFonts w:hint="eastAsia" w:ascii="黑体" w:hAnsi="黑体" w:eastAsia="黑体"/>
                <w:color w:val="000000"/>
                <w:sz w:val="28"/>
                <w:szCs w:val="28"/>
              </w:rPr>
              <w:t>362200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exact"/>
          <w:jc w:val="center"/>
        </w:trPr>
        <w:tc>
          <w:tcPr>
            <w:tcW w:w="133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923" w:type="dxa"/>
            <w:gridSpan w:val="1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olor w:val="000000"/>
                <w:sz w:val="28"/>
                <w:szCs w:val="28"/>
              </w:rPr>
            </w:pPr>
            <w:r>
              <w:rPr>
                <w:rFonts w:hint="eastAsia" w:ascii="黑体" w:hAnsi="黑体" w:eastAsia="黑体"/>
                <w:color w:val="000000"/>
                <w:sz w:val="28"/>
                <w:szCs w:val="28"/>
              </w:rPr>
              <w:t>福建省晋江市长兴路报业大厦19楼晋江经济报社</w:t>
            </w:r>
          </w:p>
        </w:tc>
      </w:tr>
      <w:tr>
        <w:tblPrEx>
          <w:tblCellMar>
            <w:top w:w="0" w:type="dxa"/>
            <w:left w:w="108" w:type="dxa"/>
            <w:bottom w:w="0" w:type="dxa"/>
            <w:right w:w="108" w:type="dxa"/>
          </w:tblCellMar>
        </w:tblPrEx>
        <w:trPr>
          <w:wBefore w:w="0" w:type="auto"/>
          <w:wAfter w:w="0" w:type="auto"/>
          <w:trHeight w:val="811" w:hRule="atLeast"/>
          <w:jc w:val="center"/>
        </w:trPr>
        <w:tc>
          <w:tcPr>
            <w:tcW w:w="9260" w:type="dxa"/>
            <w:gridSpan w:val="14"/>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CellMar>
            <w:top w:w="0" w:type="dxa"/>
            <w:left w:w="108" w:type="dxa"/>
            <w:bottom w:w="0" w:type="dxa"/>
            <w:right w:w="108" w:type="dxa"/>
          </w:tblCellMar>
        </w:tblPrEx>
        <w:trPr>
          <w:wBefore w:w="0" w:type="auto"/>
          <w:wAfter w:w="0" w:type="auto"/>
          <w:trHeight w:val="737" w:hRule="exact"/>
          <w:jc w:val="center"/>
        </w:trPr>
        <w:tc>
          <w:tcPr>
            <w:tcW w:w="1158" w:type="dxa"/>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1158" w:type="dxa"/>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708" w:type="dxa"/>
            <w:gridSpan w:val="10"/>
            <w:tcBorders>
              <w:top w:val="single" w:color="auto" w:sz="4" w:space="0"/>
              <w:left w:val="single" w:color="auto" w:sz="4" w:space="0"/>
              <w:bottom w:val="single" w:color="auto" w:sz="4"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1158" w:type="dxa"/>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1158" w:type="dxa"/>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708" w:type="dxa"/>
            <w:gridSpan w:val="10"/>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2552" w:type="dxa"/>
            <w:gridSpan w:val="4"/>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708" w:type="dxa"/>
            <w:gridSpan w:val="1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cs="仿宋"/>
          <w:b/>
          <w:bCs/>
          <w:kern w:val="0"/>
          <w:sz w:val="28"/>
          <w:szCs w:val="28"/>
          <w:lang w:val="zh-CN"/>
        </w:rPr>
      </w:pPr>
      <w:r>
        <w:rPr>
          <w:rFonts w:hint="eastAsia" w:ascii="楷体" w:hAnsi="楷体" w:eastAsia="楷体" w:cs="仿宋"/>
          <w:b/>
          <w:bCs/>
          <w:kern w:val="0"/>
          <w:sz w:val="28"/>
          <w:szCs w:val="28"/>
          <w:lang w:val="zh-CN"/>
        </w:rPr>
        <w:t>附件</w:t>
      </w:r>
      <w:r>
        <w:rPr>
          <w:rFonts w:ascii="楷体" w:hAnsi="楷体" w:eastAsia="楷体" w:cs="仿宋"/>
          <w:b/>
          <w:bCs/>
          <w:kern w:val="0"/>
          <w:sz w:val="28"/>
          <w:szCs w:val="28"/>
        </w:rPr>
        <w:t>6</w:t>
      </w:r>
    </w:p>
    <w:p>
      <w:pPr>
        <w:widowControl w:val="0"/>
        <w:spacing w:line="560" w:lineRule="exact"/>
        <w:rPr>
          <w:rFonts w:ascii="仿宋_GB2312" w:hAnsi="仿宋" w:eastAsia="仿宋_GB231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报送单位诚信承诺书</w:t>
      </w:r>
    </w:p>
    <w:p>
      <w:pPr>
        <w:widowControl w:val="0"/>
        <w:spacing w:line="560" w:lineRule="exact"/>
        <w:rPr>
          <w:rFonts w:ascii="仿宋_GB2312" w:hAnsi="仿宋" w:eastAsia="仿宋_GB2312"/>
          <w:sz w:val="24"/>
          <w:szCs w:val="24"/>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我单位就参评本届中国新闻奖作如下承诺：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如违反上述承诺，我单位愿根据中国新闻奖评选有关处罚规定承担全部责任，接受中国记协对我单位和推荐单位，以及相关责任人、作者（主创人员）和编辑的处罚。</w:t>
      </w:r>
    </w:p>
    <w:p>
      <w:pPr>
        <w:widowControl w:val="0"/>
        <w:spacing w:line="560" w:lineRule="exact"/>
        <w:rPr>
          <w:rFonts w:ascii="仿宋_GB2312" w:hAnsi="仿宋" w:eastAsia="仿宋_GB2312"/>
          <w:sz w:val="24"/>
          <w:szCs w:val="24"/>
        </w:rPr>
      </w:pPr>
    </w:p>
    <w:p>
      <w:pPr>
        <w:widowControl w:val="0"/>
        <w:spacing w:line="560" w:lineRule="exact"/>
        <w:ind w:firstLine="4000" w:firstLineChars="125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3840" w:firstLineChars="1200"/>
        <w:rPr>
          <w:rFonts w:ascii="仿宋_GB2312" w:hAnsi="仿宋" w:eastAsia="仿宋_GB2312"/>
          <w:sz w:val="32"/>
          <w:szCs w:val="32"/>
        </w:rPr>
      </w:pPr>
      <w:r>
        <w:rPr>
          <w:rFonts w:hint="eastAsia" w:ascii="仿宋_GB2312" w:hAnsi="仿宋" w:eastAsia="仿宋_GB2312"/>
          <w:sz w:val="32"/>
          <w:szCs w:val="32"/>
        </w:rPr>
        <w:t>（报送单位主管领导签字并加盖公章）</w:t>
      </w:r>
    </w:p>
    <w:p>
      <w:pPr>
        <w:widowControl w:val="0"/>
        <w:spacing w:afterLines="50" w:line="56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参评人员诚信承诺书</w:t>
      </w:r>
    </w:p>
    <w:p>
      <w:pPr>
        <w:widowControl w:val="0"/>
        <w:spacing w:line="560" w:lineRule="exact"/>
        <w:ind w:firstLine="420" w:firstLineChars="200"/>
        <w:rPr>
          <w:rFonts w:ascii="仿宋_GB2312" w:hAnsi="仿宋" w:eastAsia="仿宋_GB2312"/>
          <w:szCs w:val="20"/>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我就申报的《</w:t>
      </w:r>
      <w:r>
        <w:rPr>
          <w:rFonts w:hint="eastAsia" w:ascii="仿宋_GB2312" w:hAnsi="仿宋" w:eastAsia="仿宋_GB2312"/>
          <w:sz w:val="32"/>
          <w:szCs w:val="32"/>
        </w:rPr>
        <w:tab/>
      </w:r>
      <w:r>
        <w:rPr>
          <w:rFonts w:hint="eastAsia" w:ascii="仿宋_GB2312" w:hAnsi="仿宋" w:eastAsia="仿宋_GB2312"/>
          <w:sz w:val="32"/>
          <w:szCs w:val="32"/>
        </w:rPr>
        <w:t xml:space="preserve">                                  》作品参评本届中国新闻奖作如下承诺：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一、根据《中国新闻奖评选办法》和有关通知要求申报作品评选。对申报的作品以及推荐表等材料，如实填写，认真审查。作品内容和材料均已经过确认，符合参评要求。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如违反上述承诺，我愿根据中国新闻奖评选有关处罚规定承担全部责任，接受中国记协对作者（主创人员）和编辑的处罚。</w:t>
      </w: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3872" w:firstLineChars="121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640"/>
        <w:jc w:val="center"/>
        <w:rPr>
          <w:rFonts w:ascii="仿宋_GB2312" w:hAnsi="仿宋" w:eastAsia="仿宋_GB2312"/>
          <w:sz w:val="32"/>
          <w:szCs w:val="32"/>
        </w:rPr>
      </w:pPr>
      <w:r>
        <w:rPr>
          <w:rFonts w:hint="eastAsia" w:ascii="仿宋_GB2312" w:hAnsi="仿宋" w:eastAsia="仿宋_GB2312"/>
          <w:sz w:val="32"/>
          <w:szCs w:val="32"/>
        </w:rPr>
        <w:t xml:space="preserve"> 年    月</w:t>
      </w:r>
    </w:p>
    <w:p>
      <w:pPr>
        <w:widowControl w:val="0"/>
        <w:spacing w:line="560" w:lineRule="exact"/>
        <w:ind w:firstLine="640"/>
        <w:jc w:val="cente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3YjU1N2FmYTQyZTE4ZWZkNDc4YjdkZDlkYWRhYzEifQ=="/>
  </w:docVars>
  <w:rsids>
    <w:rsidRoot w:val="03A2422E"/>
    <w:rsid w:val="0007738A"/>
    <w:rsid w:val="00373F7D"/>
    <w:rsid w:val="004D0B3D"/>
    <w:rsid w:val="005C5694"/>
    <w:rsid w:val="006541ED"/>
    <w:rsid w:val="006D7725"/>
    <w:rsid w:val="00775F7A"/>
    <w:rsid w:val="00826BAF"/>
    <w:rsid w:val="00AF15C3"/>
    <w:rsid w:val="00CC299E"/>
    <w:rsid w:val="00D55F10"/>
    <w:rsid w:val="00E809D3"/>
    <w:rsid w:val="00E9050E"/>
    <w:rsid w:val="03A2422E"/>
    <w:rsid w:val="552C79D0"/>
    <w:rsid w:val="63782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1272</Words>
  <Characters>1332</Characters>
  <Lines>11</Lines>
  <Paragraphs>3</Paragraphs>
  <TotalTime>51</TotalTime>
  <ScaleCrop>false</ScaleCrop>
  <LinksUpToDate>false</LinksUpToDate>
  <CharactersWithSpaces>1434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2022-05-12T03:24:00Z</dcterms:created>
  <dc:creator>^玥^</dc:creator>
  <cp:lastModifiedBy>^玥^</cp:lastModifiedBy>
  <cp:lastPrinted>2022-06-06T03:26:20Z</cp:lastPrinted>
  <dcterms:modified xsi:type="dcterms:W3CDTF">2022-06-06T03:26:22Z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FDB6BEC7EBD04DEBBDAE1169B6BDE847</vt:lpwstr>
  </property>
</Properties>
</file>